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84B87" w14:textId="52551746" w:rsidR="00AE0CEC" w:rsidRPr="002A5FAE" w:rsidRDefault="47F678F8" w:rsidP="002D37DF">
      <w:pPr>
        <w:jc w:val="center"/>
        <w:rPr>
          <w:rFonts w:ascii="Tw Cen MT" w:eastAsia="Calibri" w:hAnsi="Tw Cen MT" w:cs="Calibri"/>
          <w:b/>
          <w:bCs/>
          <w:color w:val="4472C4" w:themeColor="accent1"/>
          <w:sz w:val="24"/>
          <w:szCs w:val="24"/>
        </w:rPr>
      </w:pPr>
      <w:r w:rsidRPr="002A5FAE">
        <w:rPr>
          <w:rFonts w:ascii="Tw Cen MT" w:hAnsi="Tw Cen MT"/>
          <w:b/>
          <w:bCs/>
          <w:sz w:val="36"/>
          <w:szCs w:val="36"/>
        </w:rPr>
        <w:t xml:space="preserve">ENLIGHT </w:t>
      </w:r>
      <w:r w:rsidR="1DDFA84D" w:rsidRPr="002A5FAE">
        <w:rPr>
          <w:rFonts w:ascii="Tw Cen MT" w:hAnsi="Tw Cen MT"/>
          <w:b/>
          <w:bCs/>
          <w:sz w:val="36"/>
          <w:szCs w:val="36"/>
        </w:rPr>
        <w:t>Application</w:t>
      </w:r>
      <w:r w:rsidRPr="002A5FAE">
        <w:rPr>
          <w:rFonts w:ascii="Tw Cen MT" w:hAnsi="Tw Cen MT"/>
          <w:b/>
          <w:bCs/>
          <w:sz w:val="36"/>
          <w:szCs w:val="36"/>
        </w:rPr>
        <w:t xml:space="preserve"> for Future-proof Incubator grants</w:t>
      </w:r>
      <w:r w:rsidR="002D37DF" w:rsidRPr="002A5FAE">
        <w:rPr>
          <w:rFonts w:ascii="Tw Cen MT" w:hAnsi="Tw Cen MT"/>
          <w:b/>
          <w:bCs/>
          <w:sz w:val="36"/>
          <w:szCs w:val="36"/>
        </w:rPr>
        <w:br/>
      </w:r>
      <w:r w:rsidR="008734D9" w:rsidRPr="002A5FAE">
        <w:rPr>
          <w:rFonts w:ascii="Tw Cen MT" w:hAnsi="Tw Cen MT"/>
          <w:b/>
          <w:bCs/>
          <w:sz w:val="36"/>
          <w:szCs w:val="36"/>
        </w:rPr>
        <w:t>Strand A: Joint study programmes</w:t>
      </w:r>
      <w:r w:rsidR="003C6B3E" w:rsidRPr="002A5FAE">
        <w:rPr>
          <w:rStyle w:val="FootnoteReference"/>
          <w:rFonts w:ascii="Tw Cen MT" w:hAnsi="Tw Cen MT"/>
          <w:b/>
          <w:bCs/>
          <w:sz w:val="36"/>
          <w:szCs w:val="36"/>
        </w:rPr>
        <w:footnoteReference w:id="2"/>
      </w:r>
      <w:r w:rsidR="002D37DF" w:rsidRPr="002A5FAE">
        <w:rPr>
          <w:rFonts w:ascii="Tw Cen MT" w:hAnsi="Tw Cen MT"/>
          <w:b/>
          <w:bCs/>
          <w:color w:val="4472C4" w:themeColor="accent1"/>
          <w:sz w:val="24"/>
          <w:szCs w:val="24"/>
        </w:rPr>
        <w:br/>
      </w:r>
    </w:p>
    <w:p w14:paraId="05CFFAFE" w14:textId="10807217" w:rsidR="7AD355A9" w:rsidRPr="002A5FAE" w:rsidRDefault="7AD355A9" w:rsidP="54E7B54F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</w:rPr>
      </w:pPr>
      <w:r w:rsidRPr="002A5FAE"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  <w:t xml:space="preserve">1. </w:t>
      </w:r>
      <w:r w:rsidR="31E00653" w:rsidRPr="002A5FAE"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  <w:t>Title and basic information</w:t>
      </w:r>
    </w:p>
    <w:p w14:paraId="24A7BBEB" w14:textId="00EDF753" w:rsidR="00CE0D5A" w:rsidRPr="002A5FAE" w:rsidRDefault="00CE0D5A" w:rsidP="217A9994">
      <w:pPr>
        <w:spacing w:after="0"/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5775"/>
      </w:tblGrid>
      <w:tr w:rsidR="008734D9" w:rsidRPr="002A5FAE" w14:paraId="3694EB49" w14:textId="77777777" w:rsidTr="5FF84BAE">
        <w:trPr>
          <w:trHeight w:val="610"/>
        </w:trPr>
        <w:tc>
          <w:tcPr>
            <w:tcW w:w="3240" w:type="dxa"/>
          </w:tcPr>
          <w:p w14:paraId="7B965954" w14:textId="6D1CDED3" w:rsidR="008734D9" w:rsidRPr="002A5FAE" w:rsidRDefault="008734D9" w:rsidP="736383B5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Title of the initiative</w:t>
            </w:r>
          </w:p>
        </w:tc>
        <w:tc>
          <w:tcPr>
            <w:tcW w:w="5775" w:type="dxa"/>
          </w:tcPr>
          <w:p w14:paraId="54AADC9D" w14:textId="01946810" w:rsidR="008734D9" w:rsidRPr="002A5FAE" w:rsidRDefault="008734D9" w:rsidP="217A9994">
            <w:pPr>
              <w:rPr>
                <w:rFonts w:ascii="Tw Cen MT" w:eastAsia="Calibri" w:hAnsi="Tw Cen MT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217A9994" w:rsidRPr="002A5FAE" w14:paraId="6745134B" w14:textId="77777777" w:rsidTr="5FF84BAE">
        <w:trPr>
          <w:trHeight w:val="300"/>
        </w:trPr>
        <w:tc>
          <w:tcPr>
            <w:tcW w:w="3240" w:type="dxa"/>
          </w:tcPr>
          <w:p w14:paraId="48B7EDC7" w14:textId="7F9485F0" w:rsidR="3DE140AE" w:rsidRPr="002A5FAE" w:rsidRDefault="007C6D97" w:rsidP="736383B5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D</w:t>
            </w:r>
            <w:r w:rsidR="00F94884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iscipl</w:t>
            </w:r>
            <w:r w:rsidR="0040279C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ina</w:t>
            </w:r>
            <w:r w:rsidR="00F94884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ry field</w:t>
            </w: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 xml:space="preserve"> (Inter-/Multi-, if applicable)</w:t>
            </w:r>
          </w:p>
        </w:tc>
        <w:tc>
          <w:tcPr>
            <w:tcW w:w="5775" w:type="dxa"/>
          </w:tcPr>
          <w:p w14:paraId="5C37307C" w14:textId="01946810" w:rsidR="217A9994" w:rsidRPr="002A5FAE" w:rsidRDefault="217A9994" w:rsidP="217A9994">
            <w:pPr>
              <w:rPr>
                <w:rFonts w:ascii="Tw Cen MT" w:eastAsia="Calibri" w:hAnsi="Tw Cen MT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217A9994" w:rsidRPr="002A5FAE" w14:paraId="0AABD770" w14:textId="77777777" w:rsidTr="5FF84BAE">
        <w:trPr>
          <w:trHeight w:val="300"/>
        </w:trPr>
        <w:tc>
          <w:tcPr>
            <w:tcW w:w="3240" w:type="dxa"/>
          </w:tcPr>
          <w:p w14:paraId="0EB0AD6D" w14:textId="0472E3C2" w:rsidR="573C1624" w:rsidRPr="002A5FAE" w:rsidRDefault="00F94884" w:rsidP="6AA01F02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Bachelor’s level, (EQF 6) or Master’s level (EQF 7)</w:t>
            </w:r>
          </w:p>
        </w:tc>
        <w:tc>
          <w:tcPr>
            <w:tcW w:w="5775" w:type="dxa"/>
          </w:tcPr>
          <w:p w14:paraId="7FCDF785" w14:textId="74F1F545" w:rsidR="217A9994" w:rsidRPr="002A5FAE" w:rsidRDefault="217A9994" w:rsidP="217A9994">
            <w:pPr>
              <w:rPr>
                <w:rFonts w:ascii="Tw Cen MT" w:eastAsia="Calibri" w:hAnsi="Tw Cen MT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7C944C3" w:rsidRPr="002A5FAE" w14:paraId="4FFC6476" w14:textId="77777777" w:rsidTr="5FF84BAE">
        <w:trPr>
          <w:trHeight w:val="300"/>
        </w:trPr>
        <w:tc>
          <w:tcPr>
            <w:tcW w:w="3240" w:type="dxa"/>
          </w:tcPr>
          <w:p w14:paraId="2D9986C6" w14:textId="6B15B1BE" w:rsidR="00014935" w:rsidRPr="002A5FAE" w:rsidRDefault="00014935" w:rsidP="736383B5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Number of ECTS</w:t>
            </w:r>
            <w:r w:rsidR="001A321C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64707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credits of</w:t>
            </w:r>
            <w:r w:rsidR="001A321C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 xml:space="preserve"> the </w:t>
            </w:r>
            <w:r w:rsidR="00164707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 xml:space="preserve">envisaged </w:t>
            </w:r>
            <w:r w:rsidR="001A321C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 xml:space="preserve">joint study </w:t>
            </w:r>
            <w:proofErr w:type="spellStart"/>
            <w:r w:rsidR="001A321C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programme</w:t>
            </w:r>
            <w:proofErr w:type="spellEnd"/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 xml:space="preserve"> (indicative)</w:t>
            </w:r>
          </w:p>
        </w:tc>
        <w:tc>
          <w:tcPr>
            <w:tcW w:w="5775" w:type="dxa"/>
          </w:tcPr>
          <w:p w14:paraId="180181A4" w14:textId="2FE305C5" w:rsidR="07C944C3" w:rsidRPr="002A5FAE" w:rsidRDefault="07C944C3" w:rsidP="07C944C3">
            <w:pPr>
              <w:rPr>
                <w:rFonts w:ascii="Tw Cen MT" w:eastAsia="Calibri" w:hAnsi="Tw Cen MT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28A240B" w14:textId="06FAAB56" w:rsidR="00CE0D5A" w:rsidRPr="002A5FAE" w:rsidRDefault="00CE0D5A" w:rsidP="2021F0E1">
      <w:pPr>
        <w:spacing w:after="0"/>
        <w:rPr>
          <w:rFonts w:ascii="Tw Cen MT" w:hAnsi="Tw Cen MT"/>
          <w:sz w:val="24"/>
          <w:szCs w:val="24"/>
        </w:rPr>
      </w:pPr>
    </w:p>
    <w:p w14:paraId="795822D3" w14:textId="15853EB4" w:rsidR="781D200C" w:rsidRPr="002A5FAE" w:rsidRDefault="09C132F9" w:rsidP="736383B5">
      <w:pPr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</w:pPr>
      <w:r w:rsidRPr="002A5FAE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2. </w:t>
      </w:r>
      <w:r w:rsidR="57E3ADA6" w:rsidRPr="002A5FAE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To w</w:t>
      </w:r>
      <w:r w:rsidRPr="002A5FAE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hich</w:t>
      </w:r>
      <w:r w:rsidR="3D9F8B4A" w:rsidRPr="002A5FAE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3ACBA823" w:rsidRPr="002A5FAE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ENLIGHT </w:t>
      </w:r>
      <w:r w:rsidR="3D9F8B4A" w:rsidRPr="002A5FAE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flagship domains/</w:t>
      </w:r>
      <w:hyperlink r:id="rId11">
        <w:r w:rsidRPr="002A5FAE">
          <w:rPr>
            <w:rStyle w:val="Hyperlink"/>
            <w:rFonts w:ascii="Tw Cen MT" w:eastAsia="Calibri" w:hAnsi="Tw Cen MT" w:cs="Calibri"/>
            <w:b/>
            <w:bCs/>
            <w:sz w:val="24"/>
            <w:szCs w:val="24"/>
            <w:lang w:val="en-US"/>
          </w:rPr>
          <w:t>focus areas</w:t>
        </w:r>
      </w:hyperlink>
      <w:r w:rsidRPr="002A5FAE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52514BF9" w:rsidRPr="002A5FAE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do</w:t>
      </w:r>
      <w:r w:rsidRPr="002A5FAE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es</w:t>
      </w:r>
      <w:r w:rsidR="24773D4E" w:rsidRPr="002A5FAE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 the proposed initiative</w:t>
      </w:r>
      <w:r w:rsidR="4B6EEF9D" w:rsidRPr="002A5FAE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 relate</w:t>
      </w:r>
      <w:r w:rsidR="24773D4E" w:rsidRPr="002A5FAE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?</w:t>
      </w:r>
    </w:p>
    <w:p w14:paraId="490BB2B8" w14:textId="76AFCFAE" w:rsidR="0F325760" w:rsidRPr="002A5FAE" w:rsidRDefault="200AB354" w:rsidP="736383B5">
      <w:pPr>
        <w:rPr>
          <w:rFonts w:ascii="Tw Cen MT" w:eastAsia="Calibri" w:hAnsi="Tw Cen MT" w:cs="Calibri"/>
          <w:sz w:val="24"/>
          <w:szCs w:val="24"/>
          <w:lang w:val="en-US"/>
        </w:rPr>
      </w:pPr>
      <w:r w:rsidRPr="002A5FAE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 xml:space="preserve">Please select one or several ones in order of relevance </w:t>
      </w:r>
      <w:r w:rsidR="47291225" w:rsidRPr="002A5FAE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>(</w:t>
      </w:r>
      <w:r w:rsidRPr="002A5FAE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>1 most relevant-5 least relevant</w:t>
      </w:r>
      <w:r w:rsidR="25AECFC5" w:rsidRPr="002A5FAE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>)</w:t>
      </w:r>
      <w:r w:rsidRPr="002A5FAE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 xml:space="preserve">. </w:t>
      </w:r>
      <w:r w:rsidR="1A0FBA09" w:rsidRPr="002A5FAE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>F</w:t>
      </w:r>
      <w:r w:rsidRPr="002A5FAE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>or further information, please consult https://enlight-eu.org/university-about-us/flagship-domains.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8655"/>
      </w:tblGrid>
      <w:tr w:rsidR="217A9994" w:rsidRPr="002A5FAE" w14:paraId="7383CE50" w14:textId="77777777" w:rsidTr="7F247CB6">
        <w:trPr>
          <w:trHeight w:val="300"/>
        </w:trPr>
        <w:tc>
          <w:tcPr>
            <w:tcW w:w="345" w:type="dxa"/>
          </w:tcPr>
          <w:p w14:paraId="03F35056" w14:textId="3F9D8DD3" w:rsidR="217A9994" w:rsidRPr="002A5FAE" w:rsidRDefault="217A9994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55" w:type="dxa"/>
          </w:tcPr>
          <w:p w14:paraId="3B5BB1A1" w14:textId="2904A056" w:rsidR="479C1B00" w:rsidRPr="002A5FAE" w:rsidRDefault="479C1B00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Health and Well-being</w:t>
            </w:r>
          </w:p>
        </w:tc>
      </w:tr>
      <w:tr w:rsidR="217A9994" w:rsidRPr="002A5FAE" w14:paraId="6CF7E9AB" w14:textId="77777777" w:rsidTr="7F247CB6">
        <w:trPr>
          <w:trHeight w:val="300"/>
        </w:trPr>
        <w:tc>
          <w:tcPr>
            <w:tcW w:w="345" w:type="dxa"/>
          </w:tcPr>
          <w:p w14:paraId="0949D8E3" w14:textId="214E86E0" w:rsidR="217A9994" w:rsidRPr="002A5FAE" w:rsidRDefault="217A9994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55" w:type="dxa"/>
          </w:tcPr>
          <w:p w14:paraId="0B5045C2" w14:textId="6695709D" w:rsidR="479C1B00" w:rsidRPr="002A5FAE" w:rsidRDefault="479C1B00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Digitalization</w:t>
            </w:r>
          </w:p>
        </w:tc>
      </w:tr>
      <w:tr w:rsidR="217A9994" w:rsidRPr="002A5FAE" w14:paraId="05F37D1D" w14:textId="77777777" w:rsidTr="7F247CB6">
        <w:trPr>
          <w:trHeight w:val="300"/>
        </w:trPr>
        <w:tc>
          <w:tcPr>
            <w:tcW w:w="345" w:type="dxa"/>
          </w:tcPr>
          <w:p w14:paraId="0137581D" w14:textId="577533F0" w:rsidR="217A9994" w:rsidRPr="002A5FAE" w:rsidRDefault="217A9994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55" w:type="dxa"/>
          </w:tcPr>
          <w:p w14:paraId="0B7405C9" w14:textId="1FEFD9BB" w:rsidR="479C1B00" w:rsidRPr="002A5FAE" w:rsidRDefault="479C1B00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Climate Change</w:t>
            </w:r>
          </w:p>
        </w:tc>
      </w:tr>
      <w:tr w:rsidR="217A9994" w:rsidRPr="002A5FAE" w14:paraId="7F45ADBA" w14:textId="77777777" w:rsidTr="7F247CB6">
        <w:trPr>
          <w:trHeight w:val="300"/>
        </w:trPr>
        <w:tc>
          <w:tcPr>
            <w:tcW w:w="345" w:type="dxa"/>
          </w:tcPr>
          <w:p w14:paraId="4AC30A0B" w14:textId="6D8A177F" w:rsidR="217A9994" w:rsidRPr="002A5FAE" w:rsidRDefault="217A9994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55" w:type="dxa"/>
          </w:tcPr>
          <w:p w14:paraId="3D692CC4" w14:textId="20622E84" w:rsidR="479C1B00" w:rsidRPr="002A5FAE" w:rsidRDefault="479C1B00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Energy and Circular Economy</w:t>
            </w:r>
          </w:p>
        </w:tc>
      </w:tr>
      <w:tr w:rsidR="217A9994" w:rsidRPr="002A5FAE" w14:paraId="3B8FED59" w14:textId="77777777" w:rsidTr="7F247CB6">
        <w:trPr>
          <w:trHeight w:val="300"/>
        </w:trPr>
        <w:tc>
          <w:tcPr>
            <w:tcW w:w="345" w:type="dxa"/>
          </w:tcPr>
          <w:p w14:paraId="336D6FF2" w14:textId="26DBA1B8" w:rsidR="217A9994" w:rsidRPr="002A5FAE" w:rsidRDefault="217A9994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55" w:type="dxa"/>
          </w:tcPr>
          <w:p w14:paraId="4746594E" w14:textId="46D81D26" w:rsidR="479C1B00" w:rsidRPr="002A5FAE" w:rsidRDefault="479C1B00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Equity</w:t>
            </w:r>
          </w:p>
        </w:tc>
      </w:tr>
      <w:tr w:rsidR="217A9994" w:rsidRPr="002A5FAE" w14:paraId="7551E387" w14:textId="77777777" w:rsidTr="7F247CB6">
        <w:trPr>
          <w:trHeight w:val="300"/>
        </w:trPr>
        <w:tc>
          <w:tcPr>
            <w:tcW w:w="345" w:type="dxa"/>
          </w:tcPr>
          <w:p w14:paraId="7119488F" w14:textId="7F1DC93C" w:rsidR="217A9994" w:rsidRPr="002A5FAE" w:rsidRDefault="217A9994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55" w:type="dxa"/>
          </w:tcPr>
          <w:p w14:paraId="0C00F2F3" w14:textId="3D2C4AB0" w:rsidR="479C1B00" w:rsidRPr="002A5FAE" w:rsidRDefault="479C1B00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Culture and Creativity</w:t>
            </w:r>
          </w:p>
        </w:tc>
      </w:tr>
      <w:tr w:rsidR="217A9994" w:rsidRPr="002A5FAE" w14:paraId="6CE0ACCA" w14:textId="77777777" w:rsidTr="7F247CB6">
        <w:trPr>
          <w:trHeight w:val="300"/>
        </w:trPr>
        <w:tc>
          <w:tcPr>
            <w:tcW w:w="345" w:type="dxa"/>
          </w:tcPr>
          <w:p w14:paraId="2D0BD290" w14:textId="3D3DAAFA" w:rsidR="217A9994" w:rsidRPr="002A5FAE" w:rsidRDefault="217A9994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55" w:type="dxa"/>
          </w:tcPr>
          <w:p w14:paraId="68ABED15" w14:textId="3B49BC5A" w:rsidR="479C1B00" w:rsidRPr="002A5FAE" w:rsidRDefault="23A87A7F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 xml:space="preserve">Other, please specify: </w:t>
            </w:r>
          </w:p>
        </w:tc>
      </w:tr>
    </w:tbl>
    <w:p w14:paraId="5ECD8797" w14:textId="1438B57A" w:rsidR="2021F0E1" w:rsidRPr="002A5FAE" w:rsidRDefault="2021F0E1">
      <w:pPr>
        <w:rPr>
          <w:rFonts w:ascii="Tw Cen MT" w:hAnsi="Tw Cen MT"/>
          <w:sz w:val="24"/>
          <w:szCs w:val="24"/>
        </w:rPr>
      </w:pPr>
    </w:p>
    <w:p w14:paraId="1980139B" w14:textId="22651B94" w:rsidR="7A0B5A74" w:rsidRPr="002A5FAE" w:rsidRDefault="7A0B5A74" w:rsidP="54E7B54F">
      <w:pPr>
        <w:rPr>
          <w:rFonts w:ascii="Tw Cen MT" w:hAnsi="Tw Cen MT"/>
          <w:b/>
          <w:bCs/>
          <w:sz w:val="24"/>
          <w:szCs w:val="24"/>
        </w:rPr>
      </w:pPr>
      <w:r w:rsidRPr="002A5FAE">
        <w:rPr>
          <w:rFonts w:ascii="Tw Cen MT" w:hAnsi="Tw Cen MT"/>
          <w:b/>
          <w:bCs/>
          <w:sz w:val="24"/>
          <w:szCs w:val="24"/>
        </w:rPr>
        <w:t>3. Coordinator and partners</w:t>
      </w:r>
    </w:p>
    <w:tbl>
      <w:tblPr>
        <w:tblW w:w="0" w:type="auto"/>
        <w:tblLook w:val="06A0" w:firstRow="1" w:lastRow="0" w:firstColumn="1" w:lastColumn="0" w:noHBand="1" w:noVBand="1"/>
      </w:tblPr>
      <w:tblGrid>
        <w:gridCol w:w="3225"/>
        <w:gridCol w:w="5790"/>
      </w:tblGrid>
      <w:tr w:rsidR="736383B5" w:rsidRPr="002A5FAE" w14:paraId="4AF41873" w14:textId="77777777" w:rsidTr="00467331">
        <w:trPr>
          <w:trHeight w:val="300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F95622" w14:textId="216ED15C" w:rsidR="736383B5" w:rsidRPr="002A5FAE" w:rsidRDefault="6ABA23D1" w:rsidP="54E7B54F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Coordinating university, </w:t>
            </w:r>
            <w:r w:rsidR="00806D39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br/>
              <w:t>faculty/-ies</w:t>
            </w:r>
            <w:r w:rsidR="00B34FFC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 and </w:t>
            </w:r>
            <w:r w:rsidR="00806D39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department(s), </w:t>
            </w:r>
            <w:r w:rsidR="00806D39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br/>
            </w: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names </w:t>
            </w:r>
            <w:r w:rsidR="00806D39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>and contacts</w:t>
            </w:r>
          </w:p>
          <w:p w14:paraId="255F0596" w14:textId="77777777" w:rsidR="736383B5" w:rsidRDefault="736383B5" w:rsidP="00806D39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  <w:p w14:paraId="79B11123" w14:textId="68099CB3" w:rsidR="005F2301" w:rsidRPr="002A5FAE" w:rsidRDefault="005F2301" w:rsidP="00806D39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BC5683" w14:textId="1487437B" w:rsidR="736383B5" w:rsidRPr="002A5FAE" w:rsidRDefault="736383B5" w:rsidP="736383B5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36383B5" w:rsidRPr="002A5FAE" w14:paraId="44DF5667" w14:textId="77777777" w:rsidTr="00467331">
        <w:trPr>
          <w:trHeight w:val="645"/>
        </w:trPr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AB9" w14:textId="77777777" w:rsidR="00DE311C" w:rsidRPr="002A5FAE" w:rsidRDefault="00DE311C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94B12C" w14:textId="53580AFF" w:rsidR="736383B5" w:rsidRPr="002A5FAE" w:rsidRDefault="736383B5" w:rsidP="736383B5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</w:tr>
      <w:tr w:rsidR="736383B5" w:rsidRPr="002A5FAE" w14:paraId="170382D5" w14:textId="77777777" w:rsidTr="00467331">
        <w:trPr>
          <w:trHeight w:val="300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B4CA5" w14:textId="2721881D" w:rsidR="736383B5" w:rsidRDefault="6ABA23D1" w:rsidP="00B34FFC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>Partner universit</w:t>
            </w:r>
            <w:r w:rsidR="623C87B2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>y</w:t>
            </w: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, </w:t>
            </w:r>
            <w:r w:rsidR="00B34FFC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br/>
              <w:t xml:space="preserve">faculty/-ies and department(s), </w:t>
            </w:r>
            <w:r w:rsidR="00B34FFC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br/>
              <w:t xml:space="preserve">names and contacts </w:t>
            </w:r>
          </w:p>
          <w:p w14:paraId="6D6E2E2A" w14:textId="77777777" w:rsidR="005F2301" w:rsidRPr="002A5FAE" w:rsidRDefault="005F2301" w:rsidP="00B34FFC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  <w:p w14:paraId="34CD09D4" w14:textId="6427960C" w:rsidR="736383B5" w:rsidRPr="002A5FAE" w:rsidRDefault="736383B5" w:rsidP="7F247CB6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AC2D68" w14:textId="17BF5F5F" w:rsidR="736383B5" w:rsidRPr="002A5FAE" w:rsidRDefault="736383B5" w:rsidP="736383B5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36383B5" w:rsidRPr="002A5FAE" w14:paraId="37C564AE" w14:textId="77777777" w:rsidTr="00316BC3">
        <w:trPr>
          <w:trHeight w:val="285"/>
        </w:trPr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0914" w14:textId="77777777" w:rsidR="00DE311C" w:rsidRPr="002A5FAE" w:rsidRDefault="00DE311C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9F2EA0" w14:textId="70AAD24C" w:rsidR="736383B5" w:rsidRPr="002A5FAE" w:rsidRDefault="736383B5" w:rsidP="736383B5">
            <w:pPr>
              <w:spacing w:after="0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</w:tr>
      <w:tr w:rsidR="7F247CB6" w:rsidRPr="002A5FAE" w14:paraId="168BBC66" w14:textId="77777777" w:rsidTr="00467331">
        <w:trPr>
          <w:trHeight w:val="300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B0FCE" w14:textId="03820F92" w:rsidR="7F247CB6" w:rsidRPr="002A5FAE" w:rsidRDefault="7F247CB6" w:rsidP="54E7B54F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lastRenderedPageBreak/>
              <w:t>Partner university,</w:t>
            </w:r>
            <w:r w:rsidR="00B34FFC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br/>
              <w:t xml:space="preserve">faculty/-ies and department(s), </w:t>
            </w:r>
            <w:r w:rsidR="00B34FFC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br/>
              <w:t>names and contacts</w:t>
            </w: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428CB2B" w14:textId="109637BA" w:rsidR="7F247CB6" w:rsidRPr="002A5FAE" w:rsidRDefault="7F247CB6" w:rsidP="7F247CB6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34BCF8" w14:textId="17BF5F5F" w:rsidR="7F247CB6" w:rsidRPr="002A5FAE" w:rsidRDefault="7F247CB6" w:rsidP="7F247CB6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F247CB6" w:rsidRPr="002A5FAE" w14:paraId="6E3516C3" w14:textId="77777777" w:rsidTr="00467331">
        <w:trPr>
          <w:trHeight w:val="285"/>
        </w:trPr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DB6C1" w14:textId="77777777" w:rsidR="00DE311C" w:rsidRPr="002A5FAE" w:rsidRDefault="00DE311C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01E66F" w14:textId="70AAD24C" w:rsidR="6ABA23D1" w:rsidRPr="002A5FAE" w:rsidRDefault="6ABA23D1" w:rsidP="7F247CB6">
            <w:pPr>
              <w:spacing w:after="0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</w:tr>
      <w:tr w:rsidR="7F247CB6" w:rsidRPr="002A5FAE" w14:paraId="661CAC36" w14:textId="77777777" w:rsidTr="00316BC3">
        <w:trPr>
          <w:trHeight w:val="300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83375" w14:textId="630755C7" w:rsidR="7F247CB6" w:rsidRPr="002A5FAE" w:rsidRDefault="7F247CB6" w:rsidP="54E7B54F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Partner university, </w:t>
            </w:r>
            <w:r w:rsidR="00B34FFC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faculty/-ies and department(s), </w:t>
            </w:r>
            <w:r w:rsidR="00B34FFC"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br/>
              <w:t xml:space="preserve">names and contacts </w:t>
            </w: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4220311" w14:textId="109637BA" w:rsidR="7F247CB6" w:rsidRPr="002A5FAE" w:rsidRDefault="7F247CB6" w:rsidP="7F247CB6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E90E6D" w14:textId="17BF5F5F" w:rsidR="7F247CB6" w:rsidRPr="002A5FAE" w:rsidRDefault="7F247CB6" w:rsidP="7F247CB6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2A5FAE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F247CB6" w:rsidRPr="002A5FAE" w14:paraId="3EED818A" w14:textId="77777777" w:rsidTr="00316BC3">
        <w:trPr>
          <w:trHeight w:val="285"/>
        </w:trPr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70015" w14:textId="77777777" w:rsidR="00DE311C" w:rsidRPr="002A5FAE" w:rsidRDefault="00DE311C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70A3FE" w14:textId="70AAD24C" w:rsidR="6ABA23D1" w:rsidRPr="002A5FAE" w:rsidRDefault="6ABA23D1" w:rsidP="7F247CB6">
            <w:pPr>
              <w:spacing w:after="0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</w:tr>
    </w:tbl>
    <w:p w14:paraId="1CADDE27" w14:textId="7B1DCB91" w:rsidR="736383B5" w:rsidRPr="002A5FAE" w:rsidRDefault="69B6BC20" w:rsidP="7F247CB6">
      <w:pPr>
        <w:jc w:val="both"/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</w:pPr>
      <w:r w:rsidRPr="002A5FAE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>Please, copy the above table as many times as needed</w:t>
      </w:r>
      <w:r w:rsidR="00E54ED0" w:rsidRPr="002A5FAE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ab/>
      </w:r>
      <w:r w:rsidR="00E54ED0" w:rsidRPr="002A5FAE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br/>
      </w:r>
    </w:p>
    <w:p w14:paraId="1A26860B" w14:textId="77777777" w:rsidR="00316BC3" w:rsidRDefault="008200AA" w:rsidP="54E7B54F">
      <w:pPr>
        <w:rPr>
          <w:rFonts w:ascii="Tw Cen MT" w:hAnsi="Tw Cen MT"/>
          <w:b/>
          <w:bCs/>
          <w:sz w:val="24"/>
          <w:szCs w:val="24"/>
        </w:rPr>
      </w:pPr>
      <w:r w:rsidRPr="002A5FAE">
        <w:rPr>
          <w:rFonts w:ascii="Tw Cen MT" w:hAnsi="Tw Cen MT"/>
          <w:b/>
          <w:bCs/>
          <w:sz w:val="24"/>
          <w:szCs w:val="24"/>
        </w:rPr>
        <w:t>4. Description of the initiative</w:t>
      </w:r>
    </w:p>
    <w:p w14:paraId="400ADA67" w14:textId="77777777" w:rsidR="00487F63" w:rsidRDefault="001B253C" w:rsidP="54E7B54F">
      <w:pPr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</w:pPr>
      <w:r w:rsidRPr="06793A56">
        <w:rPr>
          <w:rFonts w:ascii="Tw Cen MT" w:hAnsi="Tw Cen MT"/>
          <w:sz w:val="24"/>
          <w:szCs w:val="24"/>
          <w:lang w:val="en-US"/>
        </w:rPr>
        <w:t>4.1.</w:t>
      </w:r>
      <w:r w:rsidRPr="06793A56">
        <w:rPr>
          <w:rFonts w:ascii="Tw Cen MT" w:hAnsi="Tw Cen MT"/>
          <w:b/>
          <w:bCs/>
          <w:sz w:val="24"/>
          <w:szCs w:val="24"/>
          <w:lang w:val="en-US"/>
        </w:rPr>
        <w:t xml:space="preserve"> </w:t>
      </w:r>
      <w:r w:rsidRPr="06793A56">
        <w:rPr>
          <w:rFonts w:ascii="Tw Cen MT" w:hAnsi="Tw Cen MT"/>
          <w:sz w:val="24"/>
          <w:szCs w:val="24"/>
          <w:lang w:val="en-US"/>
        </w:rPr>
        <w:t xml:space="preserve">Please describe </w:t>
      </w:r>
      <w:r w:rsidR="005F047F" w:rsidRPr="06793A56">
        <w:rPr>
          <w:rFonts w:ascii="Tw Cen MT" w:hAnsi="Tw Cen MT"/>
          <w:sz w:val="24"/>
          <w:szCs w:val="24"/>
          <w:lang w:val="en-US"/>
        </w:rPr>
        <w:t xml:space="preserve">the </w:t>
      </w:r>
      <w:r w:rsidR="005F047F" w:rsidRPr="06793A56">
        <w:rPr>
          <w:rFonts w:ascii="Tw Cen MT" w:hAnsi="Tw Cen MT"/>
          <w:b/>
          <w:bCs/>
          <w:sz w:val="24"/>
          <w:szCs w:val="24"/>
          <w:lang w:val="en-US"/>
        </w:rPr>
        <w:t xml:space="preserve">overall </w:t>
      </w:r>
      <w:r w:rsidR="006C60C6" w:rsidRPr="06793A56">
        <w:rPr>
          <w:rFonts w:ascii="Tw Cen MT" w:hAnsi="Tw Cen MT"/>
          <w:b/>
          <w:bCs/>
          <w:sz w:val="24"/>
          <w:szCs w:val="24"/>
          <w:lang w:val="en-US"/>
        </w:rPr>
        <w:t>goals</w:t>
      </w:r>
      <w:r w:rsidR="005F047F" w:rsidRPr="06793A56">
        <w:rPr>
          <w:rFonts w:ascii="Tw Cen MT" w:hAnsi="Tw Cen MT"/>
          <w:b/>
          <w:bCs/>
          <w:sz w:val="24"/>
          <w:szCs w:val="24"/>
          <w:lang w:val="en-US"/>
        </w:rPr>
        <w:t xml:space="preserve"> and general objectives</w:t>
      </w:r>
      <w:r w:rsidR="005F047F" w:rsidRPr="06793A56">
        <w:rPr>
          <w:rFonts w:ascii="Tw Cen MT" w:hAnsi="Tw Cen MT"/>
          <w:sz w:val="24"/>
          <w:szCs w:val="24"/>
          <w:lang w:val="en-US"/>
        </w:rPr>
        <w:t xml:space="preserve"> of the envisaged joint study </w:t>
      </w:r>
      <w:proofErr w:type="spellStart"/>
      <w:r w:rsidR="005F047F" w:rsidRPr="06793A56">
        <w:rPr>
          <w:rFonts w:ascii="Tw Cen MT" w:hAnsi="Tw Cen MT"/>
          <w:sz w:val="24"/>
          <w:szCs w:val="24"/>
          <w:lang w:val="en-US"/>
        </w:rPr>
        <w:t>programm</w:t>
      </w:r>
      <w:r w:rsidR="008C75B1" w:rsidRPr="06793A56">
        <w:rPr>
          <w:rFonts w:ascii="Tw Cen MT" w:hAnsi="Tw Cen MT"/>
          <w:sz w:val="24"/>
          <w:szCs w:val="24"/>
          <w:lang w:val="en-US"/>
        </w:rPr>
        <w:t>e</w:t>
      </w:r>
      <w:proofErr w:type="spellEnd"/>
      <w:r w:rsidR="008C75B1" w:rsidRPr="06793A56">
        <w:rPr>
          <w:rFonts w:ascii="Tw Cen MT" w:hAnsi="Tw Cen MT"/>
          <w:sz w:val="24"/>
          <w:szCs w:val="24"/>
          <w:lang w:val="en-US"/>
        </w:rPr>
        <w:t xml:space="preserve">. </w:t>
      </w:r>
      <w:r>
        <w:br/>
      </w:r>
      <w:r w:rsidR="005F047F" w:rsidRPr="06793A56">
        <w:rPr>
          <w:rFonts w:ascii="Tw Cen MT" w:hAnsi="Tw Cen MT"/>
          <w:sz w:val="24"/>
          <w:szCs w:val="24"/>
          <w:lang w:val="en-US"/>
        </w:rPr>
        <w:t xml:space="preserve">4.2. Please </w:t>
      </w:r>
      <w:r w:rsidR="00832F37" w:rsidRPr="06793A56">
        <w:rPr>
          <w:rFonts w:ascii="Tw Cen MT" w:hAnsi="Tw Cen MT"/>
          <w:sz w:val="24"/>
          <w:szCs w:val="24"/>
          <w:lang w:val="en-US"/>
        </w:rPr>
        <w:t xml:space="preserve">describe the </w:t>
      </w:r>
      <w:r w:rsidR="00832F37" w:rsidRPr="06793A56">
        <w:rPr>
          <w:rFonts w:ascii="Tw Cen MT" w:hAnsi="Tw Cen MT"/>
          <w:b/>
          <w:bCs/>
          <w:sz w:val="24"/>
          <w:szCs w:val="24"/>
          <w:lang w:val="en-US"/>
        </w:rPr>
        <w:t>rationale for the design</w:t>
      </w:r>
      <w:r w:rsidR="00832F37" w:rsidRPr="06793A56">
        <w:rPr>
          <w:rFonts w:ascii="Tw Cen MT" w:hAnsi="Tw Cen MT"/>
          <w:sz w:val="24"/>
          <w:szCs w:val="24"/>
          <w:lang w:val="en-US"/>
        </w:rPr>
        <w:t xml:space="preserve"> of a new joint study </w:t>
      </w:r>
      <w:proofErr w:type="spellStart"/>
      <w:r w:rsidR="00832F37" w:rsidRPr="06793A56">
        <w:rPr>
          <w:rFonts w:ascii="Tw Cen MT" w:hAnsi="Tw Cen MT"/>
          <w:sz w:val="24"/>
          <w:szCs w:val="24"/>
          <w:lang w:val="en-US"/>
        </w:rPr>
        <w:t>programme</w:t>
      </w:r>
      <w:proofErr w:type="spellEnd"/>
      <w:r w:rsidR="00057A9B" w:rsidRPr="06793A56">
        <w:rPr>
          <w:rFonts w:ascii="Tw Cen MT" w:hAnsi="Tw Cen MT"/>
          <w:sz w:val="24"/>
          <w:szCs w:val="24"/>
          <w:lang w:val="en-US"/>
        </w:rPr>
        <w:t xml:space="preserve">. The proposal should be </w:t>
      </w:r>
      <w:r w:rsidR="00832F37" w:rsidRPr="06793A56">
        <w:rPr>
          <w:rFonts w:ascii="Tw Cen MT" w:hAnsi="Tw Cen MT"/>
          <w:sz w:val="24"/>
          <w:szCs w:val="24"/>
          <w:lang w:val="en-US"/>
        </w:rPr>
        <w:t xml:space="preserve">based on a genuine and adequate </w:t>
      </w:r>
      <w:r w:rsidR="00832F37" w:rsidRPr="06793A56">
        <w:rPr>
          <w:rFonts w:ascii="Tw Cen MT" w:hAnsi="Tw Cen MT"/>
          <w:b/>
          <w:bCs/>
          <w:sz w:val="24"/>
          <w:szCs w:val="24"/>
          <w:lang w:val="en-US"/>
        </w:rPr>
        <w:t>needs analysis</w:t>
      </w:r>
      <w:r w:rsidR="00057A9B" w:rsidRPr="06793A56">
        <w:rPr>
          <w:rFonts w:ascii="Tw Cen MT" w:hAnsi="Tw Cen MT"/>
          <w:sz w:val="24"/>
          <w:szCs w:val="24"/>
          <w:lang w:val="en-US"/>
        </w:rPr>
        <w:t xml:space="preserve"> that identifies issues/gaps/challenges</w:t>
      </w:r>
      <w:r w:rsidR="007147E6" w:rsidRPr="06793A56">
        <w:rPr>
          <w:rFonts w:ascii="Tw Cen MT" w:hAnsi="Tw Cen MT"/>
          <w:sz w:val="24"/>
          <w:szCs w:val="24"/>
          <w:lang w:val="en-US"/>
        </w:rPr>
        <w:t xml:space="preserve"> </w:t>
      </w:r>
      <w:r w:rsidR="003C322E" w:rsidRPr="06793A56">
        <w:rPr>
          <w:rFonts w:ascii="Tw Cen MT" w:hAnsi="Tw Cen MT"/>
          <w:sz w:val="24"/>
          <w:szCs w:val="24"/>
          <w:lang w:val="en-US"/>
        </w:rPr>
        <w:t xml:space="preserve">the </w:t>
      </w:r>
      <w:r w:rsidR="00CC2F44" w:rsidRPr="06793A56">
        <w:rPr>
          <w:rFonts w:ascii="Tw Cen MT" w:hAnsi="Tw Cen MT"/>
          <w:sz w:val="24"/>
          <w:szCs w:val="24"/>
          <w:lang w:val="en-US"/>
        </w:rPr>
        <w:t xml:space="preserve">initiative </w:t>
      </w:r>
      <w:r w:rsidR="007147E6" w:rsidRPr="06793A56">
        <w:rPr>
          <w:rFonts w:ascii="Tw Cen MT" w:hAnsi="Tw Cen MT"/>
          <w:sz w:val="24"/>
          <w:szCs w:val="24"/>
          <w:lang w:val="en-US"/>
        </w:rPr>
        <w:t xml:space="preserve">aims to address in </w:t>
      </w:r>
      <w:r w:rsidR="007147E6" w:rsidRPr="06793A56">
        <w:rPr>
          <w:rFonts w:ascii="Tw Cen MT" w:hAnsi="Tw Cen MT"/>
          <w:b/>
          <w:bCs/>
          <w:sz w:val="24"/>
          <w:szCs w:val="24"/>
          <w:lang w:val="en-US"/>
        </w:rPr>
        <w:t>academic terms</w:t>
      </w:r>
      <w:r w:rsidR="007147E6" w:rsidRPr="06793A56">
        <w:rPr>
          <w:rFonts w:ascii="Tw Cen MT" w:hAnsi="Tw Cen MT"/>
          <w:sz w:val="24"/>
          <w:szCs w:val="24"/>
          <w:lang w:val="en-US"/>
        </w:rPr>
        <w:t xml:space="preserve">, and with regard to </w:t>
      </w:r>
      <w:r w:rsidR="007147E6" w:rsidRPr="06793A56">
        <w:rPr>
          <w:rFonts w:ascii="Tw Cen MT" w:hAnsi="Tw Cen MT"/>
          <w:b/>
          <w:bCs/>
          <w:sz w:val="24"/>
          <w:szCs w:val="24"/>
          <w:lang w:val="en-US"/>
        </w:rPr>
        <w:t xml:space="preserve">societal and </w:t>
      </w:r>
      <w:proofErr w:type="spellStart"/>
      <w:r w:rsidR="007147E6" w:rsidRPr="06793A56">
        <w:rPr>
          <w:rFonts w:ascii="Tw Cen MT" w:hAnsi="Tw Cen MT"/>
          <w:b/>
          <w:bCs/>
          <w:sz w:val="24"/>
          <w:szCs w:val="24"/>
          <w:lang w:val="en-US"/>
        </w:rPr>
        <w:t>labour</w:t>
      </w:r>
      <w:proofErr w:type="spellEnd"/>
      <w:r w:rsidR="007147E6" w:rsidRPr="06793A56">
        <w:rPr>
          <w:rFonts w:ascii="Tw Cen MT" w:hAnsi="Tw Cen MT"/>
          <w:b/>
          <w:bCs/>
          <w:sz w:val="24"/>
          <w:szCs w:val="24"/>
          <w:lang w:val="en-US"/>
        </w:rPr>
        <w:t xml:space="preserve"> market needs</w:t>
      </w:r>
      <w:r w:rsidR="007147E6" w:rsidRPr="06793A56">
        <w:rPr>
          <w:rFonts w:ascii="Tw Cen MT" w:hAnsi="Tw Cen MT"/>
          <w:sz w:val="24"/>
          <w:szCs w:val="24"/>
          <w:lang w:val="en-US"/>
        </w:rPr>
        <w:t xml:space="preserve">. </w:t>
      </w:r>
      <w:r>
        <w:br/>
      </w:r>
      <w:r w:rsidR="00F430ED" w:rsidRPr="06793A56">
        <w:rPr>
          <w:rFonts w:ascii="Tw Cen MT" w:hAnsi="Tw Cen MT"/>
          <w:sz w:val="24"/>
          <w:szCs w:val="24"/>
          <w:lang w:val="en-US"/>
        </w:rPr>
        <w:t xml:space="preserve">4.3. </w:t>
      </w:r>
      <w:r w:rsidR="00BA4092" w:rsidRPr="06793A56">
        <w:rPr>
          <w:rFonts w:ascii="Tw Cen MT" w:hAnsi="Tw Cen MT"/>
          <w:sz w:val="24"/>
          <w:szCs w:val="24"/>
          <w:lang w:val="en-US"/>
        </w:rPr>
        <w:t xml:space="preserve">Please describe the </w:t>
      </w:r>
      <w:r w:rsidR="00BA4092" w:rsidRPr="06793A56">
        <w:rPr>
          <w:rFonts w:ascii="Tw Cen MT" w:hAnsi="Tw Cen MT"/>
          <w:b/>
          <w:bCs/>
          <w:sz w:val="24"/>
          <w:szCs w:val="24"/>
          <w:lang w:val="en-US"/>
        </w:rPr>
        <w:t>innovativeness</w:t>
      </w:r>
      <w:r w:rsidR="00027486" w:rsidRPr="06793A56">
        <w:rPr>
          <w:rFonts w:ascii="Tw Cen MT" w:hAnsi="Tw Cen MT"/>
          <w:sz w:val="24"/>
          <w:szCs w:val="24"/>
          <w:lang w:val="en-US"/>
        </w:rPr>
        <w:t xml:space="preserve"> </w:t>
      </w:r>
      <w:r w:rsidR="00BA4092" w:rsidRPr="06793A56">
        <w:rPr>
          <w:rFonts w:ascii="Tw Cen MT" w:hAnsi="Tw Cen MT"/>
          <w:sz w:val="24"/>
          <w:szCs w:val="24"/>
          <w:lang w:val="en-US"/>
        </w:rPr>
        <w:t xml:space="preserve">of the </w:t>
      </w:r>
      <w:r w:rsidR="0058161F" w:rsidRPr="06793A56">
        <w:rPr>
          <w:rFonts w:ascii="Tw Cen MT" w:hAnsi="Tw Cen MT"/>
          <w:sz w:val="24"/>
          <w:szCs w:val="24"/>
          <w:lang w:val="en-US"/>
        </w:rPr>
        <w:t xml:space="preserve">envisaged joint study </w:t>
      </w:r>
      <w:proofErr w:type="spellStart"/>
      <w:r w:rsidR="0058161F" w:rsidRPr="06793A56">
        <w:rPr>
          <w:rFonts w:ascii="Tw Cen MT" w:hAnsi="Tw Cen MT"/>
          <w:sz w:val="24"/>
          <w:szCs w:val="24"/>
          <w:lang w:val="en-US"/>
        </w:rPr>
        <w:t>programme</w:t>
      </w:r>
      <w:proofErr w:type="spellEnd"/>
      <w:r w:rsidR="0058161F" w:rsidRPr="06793A56">
        <w:rPr>
          <w:rFonts w:ascii="Tw Cen MT" w:hAnsi="Tw Cen MT"/>
          <w:sz w:val="24"/>
          <w:szCs w:val="24"/>
          <w:lang w:val="en-US"/>
        </w:rPr>
        <w:t>, as compared to existing</w:t>
      </w:r>
      <w:r w:rsidR="00027486" w:rsidRPr="06793A56">
        <w:rPr>
          <w:rFonts w:ascii="Tw Cen MT" w:hAnsi="Tw Cen MT"/>
          <w:sz w:val="24"/>
          <w:szCs w:val="24"/>
          <w:lang w:val="en-US"/>
        </w:rPr>
        <w:t xml:space="preserve"> offer</w:t>
      </w:r>
      <w:r w:rsidR="39B21DA5" w:rsidRPr="06793A56">
        <w:rPr>
          <w:rFonts w:ascii="Tw Cen MT" w:hAnsi="Tw Cen MT"/>
          <w:sz w:val="24"/>
          <w:szCs w:val="24"/>
          <w:lang w:val="en-US"/>
        </w:rPr>
        <w:t>s</w:t>
      </w:r>
      <w:r w:rsidR="00027486" w:rsidRPr="06793A56">
        <w:rPr>
          <w:rFonts w:ascii="Tw Cen MT" w:hAnsi="Tw Cen MT"/>
          <w:sz w:val="24"/>
          <w:szCs w:val="24"/>
          <w:lang w:val="en-US"/>
        </w:rPr>
        <w:t xml:space="preserve"> of </w:t>
      </w:r>
      <w:r w:rsidR="554F9B58" w:rsidRPr="06793A56">
        <w:rPr>
          <w:rFonts w:ascii="Tw Cen MT" w:hAnsi="Tw Cen MT"/>
          <w:sz w:val="24"/>
          <w:szCs w:val="24"/>
          <w:lang w:val="en-US"/>
        </w:rPr>
        <w:t>B</w:t>
      </w:r>
      <w:r w:rsidR="00027486" w:rsidRPr="06793A56">
        <w:rPr>
          <w:rFonts w:ascii="Tw Cen MT" w:hAnsi="Tw Cen MT"/>
          <w:sz w:val="24"/>
          <w:szCs w:val="24"/>
          <w:lang w:val="en-US"/>
        </w:rPr>
        <w:t xml:space="preserve">achelor </w:t>
      </w:r>
      <w:r w:rsidR="4236B43D" w:rsidRPr="06793A56">
        <w:rPr>
          <w:rFonts w:ascii="Tw Cen MT" w:hAnsi="Tw Cen MT"/>
          <w:sz w:val="24"/>
          <w:szCs w:val="24"/>
          <w:lang w:val="en-US"/>
        </w:rPr>
        <w:t>and/</w:t>
      </w:r>
      <w:r w:rsidR="00BC67F7" w:rsidRPr="06793A56">
        <w:rPr>
          <w:rFonts w:ascii="Tw Cen MT" w:hAnsi="Tw Cen MT"/>
          <w:sz w:val="24"/>
          <w:szCs w:val="24"/>
          <w:lang w:val="en-US"/>
        </w:rPr>
        <w:t>or</w:t>
      </w:r>
      <w:r w:rsidR="00027486" w:rsidRPr="06793A56">
        <w:rPr>
          <w:rFonts w:ascii="Tw Cen MT" w:hAnsi="Tw Cen MT"/>
          <w:sz w:val="24"/>
          <w:szCs w:val="24"/>
          <w:lang w:val="en-US"/>
        </w:rPr>
        <w:t xml:space="preserve"> </w:t>
      </w:r>
      <w:r w:rsidR="3DE119D7" w:rsidRPr="06793A56">
        <w:rPr>
          <w:rFonts w:ascii="Tw Cen MT" w:hAnsi="Tw Cen MT"/>
          <w:sz w:val="24"/>
          <w:szCs w:val="24"/>
          <w:lang w:val="en-US"/>
        </w:rPr>
        <w:t>M</w:t>
      </w:r>
      <w:r w:rsidR="00027486" w:rsidRPr="06793A56">
        <w:rPr>
          <w:rFonts w:ascii="Tw Cen MT" w:hAnsi="Tw Cen MT"/>
          <w:sz w:val="24"/>
          <w:szCs w:val="24"/>
          <w:lang w:val="en-US"/>
        </w:rPr>
        <w:t xml:space="preserve">aster </w:t>
      </w:r>
      <w:proofErr w:type="spellStart"/>
      <w:r w:rsidR="00027486" w:rsidRPr="06793A56">
        <w:rPr>
          <w:rFonts w:ascii="Tw Cen MT" w:hAnsi="Tw Cen MT"/>
          <w:sz w:val="24"/>
          <w:szCs w:val="24"/>
          <w:lang w:val="en-US"/>
        </w:rPr>
        <w:t>programmes</w:t>
      </w:r>
      <w:proofErr w:type="spellEnd"/>
      <w:r w:rsidR="00027486" w:rsidRPr="06793A56">
        <w:rPr>
          <w:rFonts w:ascii="Tw Cen MT" w:hAnsi="Tw Cen MT"/>
          <w:sz w:val="24"/>
          <w:szCs w:val="24"/>
          <w:lang w:val="en-US"/>
        </w:rPr>
        <w:t>.</w:t>
      </w:r>
      <w:r>
        <w:br/>
      </w:r>
      <w:r w:rsidR="005017AB" w:rsidRPr="06793A56">
        <w:rPr>
          <w:rFonts w:ascii="Tw Cen MT" w:hAnsi="Tw Cen MT"/>
          <w:sz w:val="24"/>
          <w:szCs w:val="24"/>
          <w:lang w:val="en-US"/>
        </w:rPr>
        <w:t>4.</w:t>
      </w:r>
      <w:r w:rsidR="00F430ED" w:rsidRPr="06793A56">
        <w:rPr>
          <w:rFonts w:ascii="Tw Cen MT" w:hAnsi="Tw Cen MT"/>
          <w:sz w:val="24"/>
          <w:szCs w:val="24"/>
          <w:lang w:val="en-US"/>
        </w:rPr>
        <w:t>4</w:t>
      </w:r>
      <w:r w:rsidR="005017AB" w:rsidRPr="06793A56">
        <w:rPr>
          <w:rFonts w:ascii="Tw Cen MT" w:hAnsi="Tw Cen MT"/>
          <w:sz w:val="24"/>
          <w:szCs w:val="24"/>
          <w:lang w:val="en-US"/>
        </w:rPr>
        <w:t>. Please describe the</w:t>
      </w:r>
      <w:r w:rsidR="00F56DBC" w:rsidRPr="06793A56">
        <w:rPr>
          <w:rFonts w:ascii="Tw Cen MT" w:hAnsi="Tw Cen MT"/>
          <w:sz w:val="24"/>
          <w:szCs w:val="24"/>
          <w:lang w:val="en-US"/>
        </w:rPr>
        <w:t xml:space="preserve"> </w:t>
      </w:r>
      <w:r w:rsidR="00F56DBC" w:rsidRPr="06793A56">
        <w:rPr>
          <w:rFonts w:ascii="Tw Cen MT" w:hAnsi="Tw Cen MT"/>
          <w:b/>
          <w:bCs/>
          <w:sz w:val="24"/>
          <w:szCs w:val="24"/>
          <w:lang w:val="en-US"/>
        </w:rPr>
        <w:t>expected role</w:t>
      </w:r>
      <w:r w:rsidR="00F56DBC" w:rsidRPr="06793A56">
        <w:rPr>
          <w:rFonts w:ascii="Tw Cen MT" w:hAnsi="Tw Cen MT"/>
          <w:sz w:val="24"/>
          <w:szCs w:val="24"/>
          <w:lang w:val="en-US"/>
        </w:rPr>
        <w:t xml:space="preserve"> of </w:t>
      </w:r>
      <w:r w:rsidR="343FC788" w:rsidRPr="06793A56">
        <w:rPr>
          <w:rFonts w:ascii="Tw Cen MT" w:hAnsi="Tw Cen MT"/>
          <w:sz w:val="24"/>
          <w:szCs w:val="24"/>
          <w:lang w:val="en-US"/>
        </w:rPr>
        <w:t>each</w:t>
      </w:r>
      <w:r w:rsidR="00F56DBC" w:rsidRPr="06793A56">
        <w:rPr>
          <w:rFonts w:ascii="Tw Cen MT" w:hAnsi="Tw Cen MT"/>
          <w:sz w:val="24"/>
          <w:szCs w:val="24"/>
          <w:lang w:val="en-US"/>
        </w:rPr>
        <w:t xml:space="preserve"> participating </w:t>
      </w:r>
      <w:proofErr w:type="spellStart"/>
      <w:r w:rsidR="00F56DBC" w:rsidRPr="06793A56">
        <w:rPr>
          <w:rFonts w:ascii="Tw Cen MT" w:hAnsi="Tw Cen MT"/>
          <w:sz w:val="24"/>
          <w:szCs w:val="24"/>
          <w:lang w:val="en-US"/>
        </w:rPr>
        <w:t>organisation</w:t>
      </w:r>
      <w:proofErr w:type="spellEnd"/>
      <w:r w:rsidR="00F56DBC" w:rsidRPr="06793A56">
        <w:rPr>
          <w:rFonts w:ascii="Tw Cen MT" w:hAnsi="Tw Cen MT"/>
          <w:sz w:val="24"/>
          <w:szCs w:val="24"/>
          <w:lang w:val="en-US"/>
        </w:rPr>
        <w:t xml:space="preserve">, </w:t>
      </w:r>
      <w:r w:rsidR="007E033B" w:rsidRPr="06793A56">
        <w:rPr>
          <w:rFonts w:ascii="Tw Cen MT" w:hAnsi="Tw Cen MT"/>
          <w:sz w:val="24"/>
          <w:szCs w:val="24"/>
          <w:lang w:val="en-US"/>
        </w:rPr>
        <w:t xml:space="preserve">the </w:t>
      </w:r>
      <w:r w:rsidR="007E033B" w:rsidRPr="06793A56">
        <w:rPr>
          <w:rFonts w:ascii="Tw Cen MT" w:hAnsi="Tw Cen MT"/>
          <w:b/>
          <w:bCs/>
          <w:sz w:val="24"/>
          <w:szCs w:val="24"/>
          <w:lang w:val="en-US"/>
        </w:rPr>
        <w:t>added value</w:t>
      </w:r>
      <w:r w:rsidR="007E033B" w:rsidRPr="06793A56">
        <w:rPr>
          <w:rFonts w:ascii="Tw Cen MT" w:hAnsi="Tw Cen MT"/>
          <w:sz w:val="24"/>
          <w:szCs w:val="24"/>
          <w:lang w:val="en-US"/>
        </w:rPr>
        <w:t xml:space="preserve"> of </w:t>
      </w:r>
      <w:r w:rsidR="5CBFB6DF" w:rsidRPr="06793A56">
        <w:rPr>
          <w:rFonts w:ascii="Tw Cen MT" w:hAnsi="Tw Cen MT"/>
          <w:sz w:val="24"/>
          <w:szCs w:val="24"/>
          <w:lang w:val="en-US"/>
        </w:rPr>
        <w:t>their collaboration</w:t>
      </w:r>
      <w:r w:rsidR="004E4EE7" w:rsidRPr="06793A56">
        <w:rPr>
          <w:rFonts w:ascii="Tw Cen MT" w:hAnsi="Tw Cen MT"/>
          <w:sz w:val="24"/>
          <w:szCs w:val="24"/>
          <w:lang w:val="en-US"/>
        </w:rPr>
        <w:t>,</w:t>
      </w:r>
      <w:r w:rsidR="0048613A" w:rsidRPr="06793A56">
        <w:rPr>
          <w:rFonts w:ascii="Tw Cen MT" w:hAnsi="Tw Cen MT"/>
          <w:sz w:val="24"/>
          <w:szCs w:val="24"/>
          <w:lang w:val="en-US"/>
        </w:rPr>
        <w:t xml:space="preserve"> </w:t>
      </w:r>
      <w:r w:rsidR="004E4EE7" w:rsidRPr="06793A56">
        <w:rPr>
          <w:rFonts w:ascii="Tw Cen MT" w:hAnsi="Tw Cen MT"/>
          <w:sz w:val="24"/>
          <w:szCs w:val="24"/>
          <w:lang w:val="en-US"/>
        </w:rPr>
        <w:t xml:space="preserve">and the </w:t>
      </w:r>
      <w:r w:rsidR="004E4EE7" w:rsidRPr="06793A56">
        <w:rPr>
          <w:rFonts w:ascii="Tw Cen MT" w:hAnsi="Tw Cen MT"/>
          <w:b/>
          <w:bCs/>
          <w:sz w:val="24"/>
          <w:szCs w:val="24"/>
          <w:lang w:val="en-US"/>
        </w:rPr>
        <w:t>complementarity</w:t>
      </w:r>
      <w:r w:rsidR="004E4EE7" w:rsidRPr="06793A56">
        <w:rPr>
          <w:rFonts w:ascii="Tw Cen MT" w:hAnsi="Tw Cen MT"/>
          <w:sz w:val="24"/>
          <w:szCs w:val="24"/>
          <w:lang w:val="en-US"/>
        </w:rPr>
        <w:t xml:space="preserve"> of </w:t>
      </w:r>
      <w:r w:rsidR="00186B34" w:rsidRPr="06793A56">
        <w:rPr>
          <w:rFonts w:ascii="Tw Cen MT" w:hAnsi="Tw Cen MT"/>
          <w:sz w:val="24"/>
          <w:szCs w:val="24"/>
          <w:lang w:val="en-US"/>
        </w:rPr>
        <w:t>partners</w:t>
      </w:r>
      <w:r w:rsidR="004E4EE7" w:rsidRPr="06793A56">
        <w:rPr>
          <w:rFonts w:ascii="Tw Cen MT" w:hAnsi="Tw Cen MT"/>
          <w:sz w:val="24"/>
          <w:szCs w:val="24"/>
          <w:lang w:val="en-US"/>
        </w:rPr>
        <w:t xml:space="preserve">. </w:t>
      </w:r>
      <w:r>
        <w:br/>
      </w:r>
    </w:p>
    <w:p w14:paraId="288951C6" w14:textId="61EC4473" w:rsidR="02A1EC89" w:rsidRPr="002A5FAE" w:rsidRDefault="008200AA" w:rsidP="54E7B54F">
      <w:pPr>
        <w:rPr>
          <w:rFonts w:ascii="Tw Cen MT" w:hAnsi="Tw Cen MT"/>
          <w:sz w:val="24"/>
          <w:szCs w:val="24"/>
        </w:rPr>
      </w:pPr>
      <w:r w:rsidRPr="06793A56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-&gt; </w:t>
      </w:r>
      <w:r w:rsidR="009C5A0A" w:rsidRPr="06793A56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M</w:t>
      </w:r>
      <w:r w:rsidR="00301153" w:rsidRPr="06793A56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ax. two pages.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021F0E1" w:rsidRPr="002A5FAE" w14:paraId="1CB881F8" w14:textId="77777777" w:rsidTr="078B6E19">
        <w:trPr>
          <w:trHeight w:val="2400"/>
        </w:trPr>
        <w:tc>
          <w:tcPr>
            <w:tcW w:w="9015" w:type="dxa"/>
          </w:tcPr>
          <w:p w14:paraId="10BBA9ED" w14:textId="6A3AB204" w:rsidR="2021F0E1" w:rsidRPr="002A5FAE" w:rsidRDefault="2021F0E1" w:rsidP="2021F0E1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</w:tbl>
    <w:p w14:paraId="1D541866" w14:textId="033F3DF2" w:rsidR="00CE0D5A" w:rsidRPr="002A5FAE" w:rsidRDefault="04F132F5" w:rsidP="49147C0F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  <w:highlight w:val="yellow"/>
          <w:lang w:val="en-GB"/>
        </w:rPr>
      </w:pPr>
      <w:r w:rsidRPr="002A5FAE">
        <w:rPr>
          <w:rFonts w:ascii="Tw Cen MT" w:eastAsia="Calibri" w:hAnsi="Tw Cen MT" w:cs="Calibri"/>
          <w:color w:val="000000" w:themeColor="text1"/>
          <w:sz w:val="24"/>
          <w:szCs w:val="24"/>
          <w:lang w:val="en-GB"/>
        </w:rPr>
        <w:t xml:space="preserve"> </w:t>
      </w:r>
    </w:p>
    <w:p w14:paraId="7650E996" w14:textId="556C22D9" w:rsidR="00CE0D5A" w:rsidRPr="002A5FAE" w:rsidRDefault="00CE0D5A" w:rsidP="43C60191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  <w:lang w:val="en-GB"/>
        </w:rPr>
      </w:pPr>
    </w:p>
    <w:p w14:paraId="6132DDFE" w14:textId="3CE854E0" w:rsidR="00CE0D5A" w:rsidRPr="002A5FAE" w:rsidRDefault="008200AA" w:rsidP="34842F5C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</w:rPr>
      </w:pPr>
      <w:r w:rsidRPr="375D2BB5"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  <w:t>5</w:t>
      </w:r>
      <w:r w:rsidR="27425125" w:rsidRPr="375D2BB5"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  <w:t>. Budget plan</w:t>
      </w:r>
      <w:r w:rsidR="72410762" w:rsidRPr="375D2BB5"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  <w:t>.</w:t>
      </w:r>
      <w:r w:rsidR="27425125" w:rsidRPr="375D2BB5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 </w:t>
      </w:r>
      <w:r w:rsidR="33A4F078" w:rsidRPr="375D2BB5">
        <w:rPr>
          <w:rFonts w:ascii="Tw Cen MT" w:eastAsia="Calibri" w:hAnsi="Tw Cen MT" w:cs="Calibri"/>
          <w:color w:val="000000" w:themeColor="text1"/>
          <w:sz w:val="24"/>
          <w:szCs w:val="24"/>
        </w:rPr>
        <w:t>P</w:t>
      </w:r>
      <w:r w:rsidR="27425125" w:rsidRPr="375D2BB5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lease provide here the sum you are requesting and describe </w:t>
      </w:r>
      <w:r w:rsidR="2484ADED" w:rsidRPr="375D2BB5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a </w:t>
      </w:r>
      <w:r w:rsidR="27425125" w:rsidRPr="375D2BB5">
        <w:rPr>
          <w:rFonts w:ascii="Tw Cen MT" w:eastAsia="Calibri" w:hAnsi="Tw Cen MT" w:cs="Calibri"/>
          <w:color w:val="000000" w:themeColor="text1"/>
          <w:sz w:val="24"/>
          <w:szCs w:val="24"/>
        </w:rPr>
        <w:t>rough division of finances among partners and</w:t>
      </w:r>
      <w:r w:rsidR="1778B4AE" w:rsidRPr="375D2BB5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 the</w:t>
      </w:r>
      <w:r w:rsidR="27425125" w:rsidRPr="375D2BB5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 expenditure type</w:t>
      </w:r>
      <w:r w:rsidR="2CD69A9E" w:rsidRPr="375D2BB5">
        <w:rPr>
          <w:rFonts w:ascii="Tw Cen MT" w:eastAsia="Calibri" w:hAnsi="Tw Cen MT" w:cs="Calibri"/>
          <w:color w:val="000000" w:themeColor="text1"/>
          <w:sz w:val="24"/>
          <w:szCs w:val="24"/>
        </w:rPr>
        <w:t>s.</w:t>
      </w:r>
    </w:p>
    <w:p w14:paraId="764D3601" w14:textId="5EF3B7A0" w:rsidR="49147C0F" w:rsidRDefault="7D0CE2D3" w:rsidP="685E0A53">
      <w:pPr>
        <w:spacing w:line="257" w:lineRule="auto"/>
        <w:ind w:right="-20"/>
        <w:jc w:val="both"/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GB"/>
        </w:rPr>
      </w:pPr>
      <w:r w:rsidRPr="002A5FAE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GB"/>
        </w:rPr>
        <w:t>Educational Initiative B</w:t>
      </w:r>
      <w:r w:rsidR="73FE4FEC" w:rsidRPr="002A5FAE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GB"/>
        </w:rPr>
        <w:t>udget per University</w:t>
      </w:r>
    </w:p>
    <w:tbl>
      <w:tblPr>
        <w:tblStyle w:val="TableGrid"/>
        <w:tblW w:w="8921" w:type="dxa"/>
        <w:tblLayout w:type="fixed"/>
        <w:tblLook w:val="0400" w:firstRow="0" w:lastRow="0" w:firstColumn="0" w:lastColumn="0" w:noHBand="0" w:noVBand="1"/>
      </w:tblPr>
      <w:tblGrid>
        <w:gridCol w:w="3251"/>
        <w:gridCol w:w="5670"/>
      </w:tblGrid>
      <w:tr w:rsidR="000A5EE6" w:rsidRPr="002A5FAE" w14:paraId="0F5B2CFB" w14:textId="77777777" w:rsidTr="000A5EE6">
        <w:trPr>
          <w:trHeight w:val="180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2C2F62" w14:textId="084EA3EC" w:rsidR="000A5EE6" w:rsidRPr="002A5FAE" w:rsidRDefault="000A5EE6" w:rsidP="685E0A53">
            <w:pPr>
              <w:ind w:left="-20" w:right="-20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5359D6A" w14:textId="43B623F5" w:rsidR="000A5EE6" w:rsidRPr="002A5FAE" w:rsidRDefault="000A5EE6" w:rsidP="685E0A53">
            <w:pPr>
              <w:ind w:left="-20" w:right="-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Amount</w:t>
            </w:r>
          </w:p>
        </w:tc>
      </w:tr>
      <w:tr w:rsidR="000A5EE6" w:rsidRPr="002A5FAE" w14:paraId="69AB516A" w14:textId="77777777" w:rsidTr="000A5EE6">
        <w:trPr>
          <w:trHeight w:val="195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FAB6E2" w14:textId="79EBF0D0" w:rsidR="000A5EE6" w:rsidRPr="002A5FAE" w:rsidRDefault="000A5EE6" w:rsidP="685E0A53">
            <w:pPr>
              <w:ind w:left="-20" w:right="-20"/>
              <w:jc w:val="both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University 1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ABA3C1F" w14:textId="57B0A561" w:rsidR="000A5EE6" w:rsidRPr="002A5FAE" w:rsidRDefault="000A5EE6" w:rsidP="685E0A53">
            <w:pPr>
              <w:ind w:left="-20" w:right="-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A5EE6" w:rsidRPr="002A5FAE" w14:paraId="74B15A9F" w14:textId="77777777" w:rsidTr="000A5EE6">
        <w:trPr>
          <w:trHeight w:val="195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45274B" w14:textId="2F8AB2B2" w:rsidR="000A5EE6" w:rsidRDefault="000A5EE6" w:rsidP="685E0A53">
            <w:pPr>
              <w:ind w:left="-20" w:right="-20"/>
              <w:jc w:val="both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University 2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D80614" w14:textId="77777777" w:rsidR="000A5EE6" w:rsidRPr="002A5FAE" w:rsidRDefault="000A5EE6" w:rsidP="685E0A53">
            <w:pPr>
              <w:ind w:left="-20" w:right="-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A5EE6" w:rsidRPr="002A5FAE" w14:paraId="16C2AF97" w14:textId="77777777" w:rsidTr="000A5EE6">
        <w:trPr>
          <w:trHeight w:val="195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A288A8" w14:textId="38AE7C2A" w:rsidR="000A5EE6" w:rsidRDefault="000A5EE6" w:rsidP="685E0A53">
            <w:pPr>
              <w:ind w:left="-20" w:right="-20"/>
              <w:jc w:val="both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University 3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5ADB8E" w14:textId="77777777" w:rsidR="000A5EE6" w:rsidRPr="002A5FAE" w:rsidRDefault="000A5EE6" w:rsidP="685E0A53">
            <w:pPr>
              <w:ind w:left="-20" w:right="-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A5EE6" w:rsidRPr="002A5FAE" w14:paraId="57135FBF" w14:textId="77777777" w:rsidTr="000A5EE6">
        <w:trPr>
          <w:trHeight w:val="195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D727F2" w14:textId="056C4CC8" w:rsidR="000A5EE6" w:rsidRDefault="000A5EE6" w:rsidP="685E0A53">
            <w:pPr>
              <w:ind w:left="-20" w:right="-20"/>
              <w:jc w:val="both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University 4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3B77F3" w14:textId="77777777" w:rsidR="000A5EE6" w:rsidRPr="002A5FAE" w:rsidRDefault="000A5EE6" w:rsidP="685E0A53">
            <w:pPr>
              <w:ind w:left="-20" w:right="-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0A5EE6" w:rsidRPr="002A5FAE" w14:paraId="418B2B4F" w14:textId="77777777" w:rsidTr="000A5EE6">
        <w:trPr>
          <w:trHeight w:val="195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71067299" w14:textId="3F30BA23" w:rsidR="000A5EE6" w:rsidRPr="002A5FAE" w:rsidRDefault="000A5EE6" w:rsidP="000A5EE6">
            <w:pPr>
              <w:ind w:left="-20" w:right="-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TOTAL AMOUNT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011743FC" w14:textId="6C6E2382" w:rsidR="000A5EE6" w:rsidRPr="002A5FAE" w:rsidRDefault="000A5EE6" w:rsidP="685E0A53">
            <w:pPr>
              <w:ind w:left="-20" w:right="-20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14:paraId="47DD13BA" w14:textId="352C42A0" w:rsidR="49147C0F" w:rsidRPr="002A5FAE" w:rsidRDefault="6EC0F6A9" w:rsidP="7F247CB6">
      <w:pPr>
        <w:spacing w:after="0"/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</w:pPr>
      <w:r w:rsidRPr="002A5FAE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>Please, add information for each partner involved.</w:t>
      </w:r>
    </w:p>
    <w:p w14:paraId="0DDC8533" w14:textId="4A71ECC8" w:rsidR="7F247CB6" w:rsidRPr="002A5FAE" w:rsidRDefault="7F247CB6" w:rsidP="7F247CB6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  <w:lang w:val="en-GB"/>
        </w:rPr>
      </w:pPr>
    </w:p>
    <w:p w14:paraId="6B93AE68" w14:textId="77777777" w:rsidR="00E943BB" w:rsidRPr="002A5FAE" w:rsidRDefault="00E943BB" w:rsidP="7F247CB6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  <w:lang w:val="en-GB"/>
        </w:rPr>
      </w:pPr>
    </w:p>
    <w:p w14:paraId="66B08826" w14:textId="56070F9D" w:rsidR="36C2053E" w:rsidRDefault="00E943BB" w:rsidP="1ADF181D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</w:pPr>
      <w:r w:rsidRPr="1ADF181D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6</w:t>
      </w:r>
      <w:r w:rsidR="27425125" w:rsidRPr="1ADF181D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.</w:t>
      </w:r>
      <w:r w:rsidR="27425125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</w:t>
      </w:r>
      <w:r w:rsidR="00E260DD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Please describe </w:t>
      </w:r>
      <w:r w:rsidR="009E2855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the planned activities</w:t>
      </w:r>
      <w:r w:rsidR="00F37B48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and corresponding </w:t>
      </w:r>
      <w:r w:rsidR="00F37B48" w:rsidRPr="1ADF181D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timeframe</w:t>
      </w:r>
      <w:r w:rsidR="00F37B48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for the development of the </w:t>
      </w:r>
      <w:r w:rsidR="00002DF9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envisaged </w:t>
      </w:r>
      <w:r w:rsidR="00F37B48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joint study </w:t>
      </w:r>
      <w:proofErr w:type="spellStart"/>
      <w:r w:rsidR="00F37B48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programme</w:t>
      </w:r>
      <w:proofErr w:type="spellEnd"/>
      <w:r w:rsidR="009E2855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.</w:t>
      </w:r>
      <w:r w:rsidR="00FD7733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Please incorporate the minimum expected deliverables</w:t>
      </w:r>
      <w:r w:rsidR="3FE19649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, as listed in </w:t>
      </w:r>
      <w:r w:rsidR="00F37B48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A</w:t>
      </w:r>
      <w:r w:rsidR="000C6652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nnex </w:t>
      </w:r>
      <w:r w:rsidR="00CA1551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I</w:t>
      </w:r>
      <w:r w:rsidR="00AE0CEC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I</w:t>
      </w:r>
      <w:r w:rsidR="00CA1551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</w:t>
      </w:r>
      <w:r w:rsidR="7CC2807C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of</w:t>
      </w:r>
      <w:r w:rsidR="000C6652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the application form).</w:t>
      </w:r>
      <w:r w:rsidR="009E2855" w:rsidRPr="1ADF181D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</w:t>
      </w:r>
    </w:p>
    <w:p w14:paraId="79223C1C" w14:textId="77777777" w:rsidR="00432607" w:rsidRDefault="00432607" w:rsidP="1ADF181D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</w:pPr>
    </w:p>
    <w:p w14:paraId="0B7978D6" w14:textId="77777777" w:rsidR="00432607" w:rsidRDefault="00432607" w:rsidP="00432607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</w:rPr>
      </w:pPr>
      <w:r w:rsidRPr="06793A56">
        <w:rPr>
          <w:rFonts w:ascii="Tw Cen MT" w:eastAsia="Calibri" w:hAnsi="Tw Cen MT" w:cs="Calibri"/>
          <w:color w:val="000000" w:themeColor="text1"/>
          <w:sz w:val="24"/>
          <w:szCs w:val="24"/>
        </w:rPr>
        <w:t>-&gt; Max. one page.</w:t>
      </w:r>
    </w:p>
    <w:p w14:paraId="71FE8F92" w14:textId="77777777" w:rsidR="00815DA1" w:rsidRPr="002A5FAE" w:rsidRDefault="00815DA1" w:rsidP="54E7B54F">
      <w:pPr>
        <w:spacing w:after="0"/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128"/>
      </w:tblGrid>
      <w:tr w:rsidR="49147C0F" w:rsidRPr="002A5FAE" w14:paraId="18D3CFEF" w14:textId="77777777" w:rsidTr="078B6E19">
        <w:trPr>
          <w:trHeight w:val="1005"/>
        </w:trPr>
        <w:tc>
          <w:tcPr>
            <w:tcW w:w="91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1294870E" w14:textId="23EF6808" w:rsidR="49147C0F" w:rsidRPr="002A5FAE" w:rsidRDefault="49147C0F" w:rsidP="49147C0F">
            <w:pPr>
              <w:spacing w:after="0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</w:tr>
    </w:tbl>
    <w:p w14:paraId="1D368D92" w14:textId="64824C92" w:rsidR="00CE0D5A" w:rsidRPr="002A5FAE" w:rsidRDefault="00CE0D5A" w:rsidP="2021F0E1">
      <w:pPr>
        <w:spacing w:line="257" w:lineRule="auto"/>
        <w:rPr>
          <w:rFonts w:ascii="Tw Cen MT" w:hAnsi="Tw Cen MT"/>
          <w:sz w:val="24"/>
          <w:szCs w:val="24"/>
        </w:rPr>
      </w:pPr>
    </w:p>
    <w:p w14:paraId="79F0C662" w14:textId="2B684E15" w:rsidR="36C2053E" w:rsidRDefault="00E943BB" w:rsidP="0FB45B28">
      <w:pPr>
        <w:spacing w:after="0"/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</w:pPr>
      <w:r w:rsidRPr="0FB45B28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7</w:t>
      </w:r>
      <w:r w:rsidR="27425125" w:rsidRPr="0FB45B28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="00F2440B" w:rsidRPr="0FB45B28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Please describe the expected </w:t>
      </w:r>
      <w:r w:rsidR="00F2440B" w:rsidRPr="0FB45B28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impact and ambition </w:t>
      </w:r>
      <w:r w:rsidR="00F2440B" w:rsidRPr="0FB45B28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of the </w:t>
      </w:r>
      <w:r w:rsidR="00CA1551" w:rsidRPr="0FB45B28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envisaged</w:t>
      </w:r>
      <w:r w:rsidR="00F2440B" w:rsidRPr="0FB45B28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joint study </w:t>
      </w:r>
      <w:proofErr w:type="spellStart"/>
      <w:r w:rsidR="00F2440B" w:rsidRPr="0FB45B28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programme</w:t>
      </w:r>
      <w:proofErr w:type="spellEnd"/>
      <w:r w:rsidR="00F2440B" w:rsidRPr="0FB45B28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, including the appeal to students</w:t>
      </w:r>
      <w:r w:rsidR="00B150E4" w:rsidRPr="0FB45B28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and</w:t>
      </w:r>
      <w:r w:rsidR="00F2440B" w:rsidRPr="0FB45B28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professors</w:t>
      </w:r>
      <w:r w:rsidR="004F135B" w:rsidRPr="0FB45B28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(individual level)</w:t>
      </w:r>
      <w:r w:rsidR="00E260DD" w:rsidRPr="0FB45B28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and </w:t>
      </w:r>
      <w:r w:rsidR="00F2440B" w:rsidRPr="0FB45B28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partner </w:t>
      </w:r>
      <w:proofErr w:type="spellStart"/>
      <w:r w:rsidR="00F2440B" w:rsidRPr="0FB45B28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organisations</w:t>
      </w:r>
      <w:proofErr w:type="spellEnd"/>
      <w:r w:rsidR="004F135B" w:rsidRPr="0FB45B28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(institutional level)</w:t>
      </w:r>
      <w:r w:rsidR="00CA1551" w:rsidRPr="0FB45B28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. See</w:t>
      </w:r>
      <w:r w:rsidR="00D21FDA" w:rsidRPr="0FB45B28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also</w:t>
      </w:r>
      <w:r w:rsidR="2EAB80BC" w:rsidRPr="0FB45B28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: </w:t>
      </w:r>
      <w:hyperlink r:id="rId12">
        <w:r w:rsidR="2EAB80BC" w:rsidRPr="0FB45B28">
          <w:rPr>
            <w:rStyle w:val="Hyperlink"/>
            <w:rFonts w:ascii="Tw Cen MT" w:eastAsia="Tw Cen MT" w:hAnsi="Tw Cen MT" w:cs="Tw Cen MT"/>
            <w:sz w:val="24"/>
            <w:szCs w:val="24"/>
            <w:lang w:val="en-US"/>
          </w:rPr>
          <w:t>https://impact.enlight-eu.org/</w:t>
        </w:r>
      </w:hyperlink>
      <w:r w:rsidR="2EAB80BC" w:rsidRPr="0FB45B28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 </w:t>
      </w:r>
      <w:r w:rsidR="2EAB80BC" w:rsidRPr="0FB45B28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</w:p>
    <w:p w14:paraId="298AFF31" w14:textId="77777777" w:rsidR="00815DA1" w:rsidRPr="002A5FAE" w:rsidRDefault="00815DA1" w:rsidP="5D8206D2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</w:pPr>
    </w:p>
    <w:p w14:paraId="21F41658" w14:textId="78B5D779" w:rsidR="00CA1551" w:rsidRDefault="00CA1551" w:rsidP="54E7B54F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</w:rPr>
      </w:pPr>
      <w:r w:rsidRPr="06793A56">
        <w:rPr>
          <w:rFonts w:ascii="Tw Cen MT" w:eastAsia="Calibri" w:hAnsi="Tw Cen MT" w:cs="Calibri"/>
          <w:color w:val="000000" w:themeColor="text1"/>
          <w:sz w:val="24"/>
          <w:szCs w:val="24"/>
        </w:rPr>
        <w:t>-&gt; Max. one page.</w:t>
      </w:r>
    </w:p>
    <w:p w14:paraId="58B8D9BF" w14:textId="77777777" w:rsidR="00815DA1" w:rsidRPr="002A5FAE" w:rsidRDefault="00815DA1" w:rsidP="54E7B54F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128"/>
      </w:tblGrid>
      <w:tr w:rsidR="217A9994" w:rsidRPr="002A5FAE" w14:paraId="106E41C4" w14:textId="77777777" w:rsidTr="078B6E19">
        <w:trPr>
          <w:trHeight w:val="1950"/>
        </w:trPr>
        <w:tc>
          <w:tcPr>
            <w:tcW w:w="9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6AEC55AF" w14:textId="3CA014FA" w:rsidR="217A9994" w:rsidRPr="002A5FAE" w:rsidRDefault="217A9994" w:rsidP="2021F0E1">
            <w:pPr>
              <w:spacing w:after="0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</w:tr>
    </w:tbl>
    <w:p w14:paraId="0538AF78" w14:textId="0E41595D" w:rsidR="23DDFCC8" w:rsidRPr="002A5FAE" w:rsidRDefault="23DDFCC8" w:rsidP="23DDFCC8">
      <w:pPr>
        <w:spacing w:line="257" w:lineRule="auto"/>
        <w:rPr>
          <w:rFonts w:ascii="Tw Cen MT" w:hAnsi="Tw Cen MT"/>
          <w:sz w:val="24"/>
          <w:szCs w:val="24"/>
        </w:rPr>
      </w:pPr>
    </w:p>
    <w:p w14:paraId="592136DE" w14:textId="4E818357" w:rsidR="00E943BB" w:rsidRDefault="00E943BB" w:rsidP="685E0A53">
      <w:pPr>
        <w:spacing w:after="0" w:line="257" w:lineRule="auto"/>
        <w:ind w:left="-20" w:right="-20"/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</w:pPr>
      <w:r w:rsidRPr="06793A56"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  <w:t>8. Sustainability of the initiative</w:t>
      </w:r>
    </w:p>
    <w:p w14:paraId="2593A19A" w14:textId="77777777" w:rsidR="009203EC" w:rsidRPr="002A5FAE" w:rsidRDefault="009203EC" w:rsidP="685E0A53">
      <w:pPr>
        <w:spacing w:after="0" w:line="257" w:lineRule="auto"/>
        <w:ind w:left="-20" w:right="-20"/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</w:pPr>
    </w:p>
    <w:p w14:paraId="07C92B9F" w14:textId="6F411C3D" w:rsidR="001F2A4B" w:rsidRPr="002A5FAE" w:rsidRDefault="00E943BB" w:rsidP="5D8206D2">
      <w:pPr>
        <w:spacing w:after="0" w:line="257" w:lineRule="auto"/>
        <w:ind w:left="-20" w:right="-20"/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</w:pPr>
      <w:r w:rsidRPr="375D2BB5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8</w:t>
      </w:r>
      <w:r w:rsidR="27425125" w:rsidRPr="375D2BB5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.</w:t>
      </w:r>
      <w:r w:rsidR="001F2A4B" w:rsidRPr="375D2BB5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1</w:t>
      </w:r>
      <w:r w:rsidR="27425125" w:rsidRPr="375D2BB5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</w:t>
      </w:r>
      <w:r w:rsidR="00097C77" w:rsidRPr="375D2BB5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Please describe the envisaged </w:t>
      </w:r>
      <w:r w:rsidR="00097C77" w:rsidRPr="375D2BB5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steps to successfully launch/implement the joint study </w:t>
      </w:r>
      <w:proofErr w:type="spellStart"/>
      <w:r w:rsidR="00097C77" w:rsidRPr="375D2BB5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programme</w:t>
      </w:r>
      <w:proofErr w:type="spellEnd"/>
      <w:r w:rsidR="001B1E5C" w:rsidRPr="375D2BB5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, including institutional endorsemen</w:t>
      </w:r>
      <w:r w:rsidR="00BE75DD" w:rsidRPr="375D2BB5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t and embeddedness</w:t>
      </w:r>
      <w:r w:rsidR="001B1E5C" w:rsidRPr="375D2BB5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. Has the proposal been discussed with the Faculty</w:t>
      </w:r>
      <w:r w:rsidR="000D67AE" w:rsidRPr="375D2BB5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/</w:t>
      </w:r>
      <w:r w:rsidR="001B1E5C" w:rsidRPr="375D2BB5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institutional administration/management? </w:t>
      </w:r>
      <w:r w:rsidR="002F477E" w:rsidRPr="375D2BB5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Which </w:t>
      </w:r>
      <w:r w:rsidR="001B1E5C" w:rsidRPr="375D2BB5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steps </w:t>
      </w:r>
      <w:r w:rsidR="002F477E" w:rsidRPr="375D2BB5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are to be taken</w:t>
      </w:r>
      <w:r w:rsidR="001B1E5C" w:rsidRPr="375D2BB5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for formalization of the planned joint </w:t>
      </w:r>
      <w:r w:rsidR="00EF1A09" w:rsidRPr="375D2BB5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study </w:t>
      </w:r>
      <w:proofErr w:type="spellStart"/>
      <w:r w:rsidR="001B1E5C" w:rsidRPr="375D2BB5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programme</w:t>
      </w:r>
      <w:proofErr w:type="spellEnd"/>
      <w:r w:rsidR="001B1E5C" w:rsidRPr="375D2BB5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, also in the light of accreditation</w:t>
      </w:r>
      <w:r w:rsidR="002F477E" w:rsidRPr="375D2BB5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? </w:t>
      </w:r>
    </w:p>
    <w:p w14:paraId="0F50A05E" w14:textId="77777777" w:rsidR="00CA1551" w:rsidRDefault="00E943BB" w:rsidP="685E0A53">
      <w:pPr>
        <w:spacing w:after="0" w:line="257" w:lineRule="auto"/>
        <w:ind w:left="-20" w:right="-20"/>
        <w:rPr>
          <w:rFonts w:ascii="Tw Cen MT" w:eastAsia="Calibri" w:hAnsi="Tw Cen MT" w:cs="Calibri"/>
          <w:color w:val="000000" w:themeColor="text1"/>
          <w:sz w:val="24"/>
          <w:szCs w:val="24"/>
        </w:rPr>
      </w:pPr>
      <w:r w:rsidRPr="06793A56">
        <w:rPr>
          <w:rFonts w:ascii="Tw Cen MT" w:eastAsia="Calibri" w:hAnsi="Tw Cen MT" w:cs="Calibri"/>
          <w:color w:val="000000" w:themeColor="text1"/>
          <w:sz w:val="24"/>
          <w:szCs w:val="24"/>
        </w:rPr>
        <w:t>8</w:t>
      </w:r>
      <w:r w:rsidR="001F2A4B" w:rsidRPr="06793A56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.2. </w:t>
      </w:r>
      <w:r w:rsidR="001B1E5C" w:rsidRPr="06793A56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Please describe the foreseen measures </w:t>
      </w:r>
      <w:r w:rsidR="00097C77" w:rsidRPr="06793A56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to ensure </w:t>
      </w:r>
      <w:r w:rsidR="00950783" w:rsidRPr="06793A56">
        <w:rPr>
          <w:rFonts w:ascii="Tw Cen MT" w:eastAsia="Calibri" w:hAnsi="Tw Cen MT" w:cs="Calibri"/>
          <w:color w:val="000000" w:themeColor="text1"/>
          <w:sz w:val="24"/>
          <w:szCs w:val="24"/>
        </w:rPr>
        <w:t>the</w:t>
      </w:r>
      <w:r w:rsidR="00097C77" w:rsidRPr="06793A56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 </w:t>
      </w:r>
      <w:r w:rsidR="00097C77" w:rsidRPr="06793A56"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  <w:t>sustainability</w:t>
      </w:r>
      <w:r w:rsidR="00481563" w:rsidRPr="06793A56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 </w:t>
      </w:r>
      <w:r w:rsidR="00950783" w:rsidRPr="06793A56">
        <w:rPr>
          <w:rFonts w:ascii="Tw Cen MT" w:eastAsia="Calibri" w:hAnsi="Tw Cen MT" w:cs="Calibri"/>
          <w:color w:val="000000" w:themeColor="text1"/>
          <w:sz w:val="24"/>
          <w:szCs w:val="24"/>
        </w:rPr>
        <w:t>of the new joint study programme.</w:t>
      </w:r>
    </w:p>
    <w:p w14:paraId="21673BAF" w14:textId="77777777" w:rsidR="009203EC" w:rsidRPr="002A5FAE" w:rsidRDefault="009203EC" w:rsidP="685E0A53">
      <w:pPr>
        <w:spacing w:after="0" w:line="257" w:lineRule="auto"/>
        <w:ind w:left="-20" w:right="-20"/>
        <w:rPr>
          <w:rFonts w:ascii="Tw Cen MT" w:eastAsia="Calibri" w:hAnsi="Tw Cen MT" w:cs="Calibri"/>
          <w:color w:val="000000" w:themeColor="text1"/>
          <w:sz w:val="24"/>
          <w:szCs w:val="24"/>
        </w:rPr>
      </w:pPr>
    </w:p>
    <w:p w14:paraId="7F4F6EB0" w14:textId="5701AF44" w:rsidR="00D8548E" w:rsidRDefault="00CA1551" w:rsidP="685E0A53">
      <w:pPr>
        <w:spacing w:after="0" w:line="257" w:lineRule="auto"/>
        <w:ind w:left="-20" w:right="-20"/>
        <w:rPr>
          <w:rFonts w:ascii="Tw Cen MT" w:eastAsia="Calibri" w:hAnsi="Tw Cen MT" w:cs="Calibri"/>
          <w:color w:val="000000" w:themeColor="text1"/>
          <w:sz w:val="24"/>
          <w:szCs w:val="24"/>
        </w:rPr>
      </w:pPr>
      <w:r w:rsidRPr="002A5FAE">
        <w:rPr>
          <w:rFonts w:ascii="Tw Cen MT" w:eastAsia="Calibri" w:hAnsi="Tw Cen MT" w:cs="Calibri"/>
          <w:color w:val="000000" w:themeColor="text1"/>
          <w:sz w:val="24"/>
          <w:szCs w:val="24"/>
        </w:rPr>
        <w:t>-&gt; M</w:t>
      </w:r>
      <w:r w:rsidR="008D23D6" w:rsidRPr="002A5FAE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ax. </w:t>
      </w:r>
      <w:r w:rsidRPr="002A5FAE">
        <w:rPr>
          <w:rFonts w:ascii="Tw Cen MT" w:eastAsia="Calibri" w:hAnsi="Tw Cen MT" w:cs="Calibri"/>
          <w:color w:val="000000" w:themeColor="text1"/>
          <w:sz w:val="24"/>
          <w:szCs w:val="24"/>
        </w:rPr>
        <w:t>one</w:t>
      </w:r>
      <w:r w:rsidR="008D23D6" w:rsidRPr="002A5FAE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 page.</w:t>
      </w:r>
      <w:r w:rsidR="00D8548E" w:rsidRPr="002A5FAE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 </w:t>
      </w:r>
    </w:p>
    <w:p w14:paraId="682EC390" w14:textId="77777777" w:rsidR="005708E5" w:rsidRPr="002A5FAE" w:rsidRDefault="005708E5" w:rsidP="685E0A53">
      <w:pPr>
        <w:spacing w:after="0" w:line="257" w:lineRule="auto"/>
        <w:ind w:left="-20" w:right="-20"/>
        <w:rPr>
          <w:rFonts w:ascii="Tw Cen MT" w:eastAsia="Calibri" w:hAnsi="Tw Cen MT" w:cs="Calibri"/>
          <w:color w:val="000000" w:themeColor="text1"/>
          <w:sz w:val="24"/>
          <w:szCs w:val="24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78B6E19" w:rsidRPr="002A5FAE" w14:paraId="4D881236" w14:textId="77777777" w:rsidTr="078B6E19">
        <w:trPr>
          <w:trHeight w:val="870"/>
        </w:trPr>
        <w:tc>
          <w:tcPr>
            <w:tcW w:w="9015" w:type="dxa"/>
          </w:tcPr>
          <w:p w14:paraId="6C961B4F" w14:textId="77777777" w:rsidR="078B6E19" w:rsidRPr="002A5FAE" w:rsidRDefault="078B6E19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113CF0F" w14:textId="77777777" w:rsidR="00750EF2" w:rsidRPr="002A5FAE" w:rsidRDefault="00750EF2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4E9DF1F" w14:textId="77777777" w:rsidR="00750EF2" w:rsidRPr="002A5FAE" w:rsidRDefault="00750EF2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7CF963D2" w14:textId="77777777" w:rsidR="00750EF2" w:rsidRPr="002A5FAE" w:rsidRDefault="00750EF2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D6C8090" w14:textId="71D9D422" w:rsidR="00750EF2" w:rsidRPr="002A5FAE" w:rsidRDefault="00750EF2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</w:tbl>
    <w:p w14:paraId="71F2C856" w14:textId="6044AFF7" w:rsidR="000C6652" w:rsidRPr="002A5FAE" w:rsidRDefault="000C6652" w:rsidP="078B6E19">
      <w:pPr>
        <w:rPr>
          <w:rFonts w:ascii="Tw Cen MT" w:hAnsi="Tw Cen MT"/>
          <w:sz w:val="24"/>
          <w:szCs w:val="24"/>
          <w:lang w:val="en-GB"/>
        </w:rPr>
      </w:pPr>
    </w:p>
    <w:p w14:paraId="38C1FF44" w14:textId="77777777" w:rsidR="005708E5" w:rsidRDefault="005708E5" w:rsidP="5D8206D2">
      <w:pPr>
        <w:jc w:val="center"/>
        <w:rPr>
          <w:rFonts w:ascii="Tw Cen MT" w:hAnsi="Tw Cen MT"/>
          <w:b/>
          <w:bCs/>
          <w:sz w:val="24"/>
          <w:szCs w:val="24"/>
          <w:lang w:val="en-US"/>
        </w:rPr>
      </w:pPr>
    </w:p>
    <w:p w14:paraId="20DABB40" w14:textId="58C28054" w:rsidR="00C64B25" w:rsidRPr="002A5FAE" w:rsidRDefault="00D621BB" w:rsidP="5D8206D2">
      <w:pPr>
        <w:jc w:val="center"/>
        <w:rPr>
          <w:rFonts w:ascii="Tw Cen MT" w:hAnsi="Tw Cen MT"/>
          <w:b/>
          <w:bCs/>
          <w:sz w:val="24"/>
          <w:szCs w:val="24"/>
          <w:lang w:val="en-US"/>
        </w:rPr>
      </w:pPr>
      <w:r w:rsidRPr="002A5FAE">
        <w:rPr>
          <w:rFonts w:ascii="Tw Cen MT" w:hAnsi="Tw Cen MT"/>
          <w:b/>
          <w:bCs/>
          <w:sz w:val="24"/>
          <w:szCs w:val="24"/>
          <w:lang w:val="en-US"/>
        </w:rPr>
        <w:t xml:space="preserve">For support at </w:t>
      </w:r>
      <w:r w:rsidR="33AFC227" w:rsidRPr="002A5FAE">
        <w:rPr>
          <w:rFonts w:ascii="Tw Cen MT" w:hAnsi="Tw Cen MT"/>
          <w:b/>
          <w:bCs/>
          <w:sz w:val="24"/>
          <w:szCs w:val="24"/>
          <w:lang w:val="en-US"/>
        </w:rPr>
        <w:t>the application</w:t>
      </w:r>
      <w:r w:rsidRPr="002A5FAE">
        <w:rPr>
          <w:rFonts w:ascii="Tw Cen MT" w:hAnsi="Tw Cen MT"/>
          <w:b/>
          <w:bCs/>
          <w:sz w:val="24"/>
          <w:szCs w:val="24"/>
          <w:lang w:val="en-US"/>
        </w:rPr>
        <w:t xml:space="preserve"> stage, </w:t>
      </w:r>
      <w:r w:rsidR="001766C0" w:rsidRPr="002A5FAE">
        <w:rPr>
          <w:rFonts w:ascii="Tw Cen MT" w:hAnsi="Tw Cen MT"/>
          <w:b/>
          <w:bCs/>
          <w:sz w:val="24"/>
          <w:szCs w:val="24"/>
          <w:lang w:val="en-US"/>
        </w:rPr>
        <w:t>please</w:t>
      </w:r>
      <w:r w:rsidRPr="002A5FAE">
        <w:rPr>
          <w:rFonts w:ascii="Tw Cen MT" w:hAnsi="Tw Cen MT"/>
          <w:b/>
          <w:bCs/>
          <w:sz w:val="24"/>
          <w:szCs w:val="24"/>
          <w:lang w:val="en-US"/>
        </w:rPr>
        <w:t xml:space="preserve"> contact your local ENLIGHT coordination office</w:t>
      </w:r>
      <w:r w:rsidR="00C21E8B" w:rsidRPr="002A5FAE">
        <w:rPr>
          <w:rFonts w:ascii="Tw Cen MT" w:hAnsi="Tw Cen MT"/>
          <w:b/>
          <w:bCs/>
          <w:sz w:val="24"/>
          <w:szCs w:val="24"/>
          <w:lang w:val="en-US"/>
        </w:rPr>
        <w:t xml:space="preserve">. </w:t>
      </w:r>
    </w:p>
    <w:p w14:paraId="4B9940E6" w14:textId="3F070B99" w:rsidR="00D621BB" w:rsidRPr="002A5FAE" w:rsidRDefault="00C64B25" w:rsidP="008E6610">
      <w:pPr>
        <w:jc w:val="center"/>
        <w:rPr>
          <w:rFonts w:ascii="Tw Cen MT" w:hAnsi="Tw Cen MT"/>
          <w:sz w:val="24"/>
          <w:szCs w:val="24"/>
        </w:rPr>
      </w:pPr>
      <w:r w:rsidRPr="002A5FAE">
        <w:rPr>
          <w:rFonts w:ascii="Tw Cen MT" w:hAnsi="Tw Cen MT"/>
          <w:sz w:val="24"/>
          <w:szCs w:val="24"/>
        </w:rPr>
        <w:t>(</w:t>
      </w:r>
      <w:r w:rsidR="001766C0" w:rsidRPr="002A5FAE">
        <w:rPr>
          <w:rFonts w:ascii="Tw Cen MT" w:hAnsi="Tw Cen MT"/>
          <w:sz w:val="24"/>
          <w:szCs w:val="24"/>
        </w:rPr>
        <w:t xml:space="preserve">University of the Basque Country - </w:t>
      </w:r>
      <w:r w:rsidR="001766C0" w:rsidRPr="002A5FAE">
        <w:rPr>
          <w:rFonts w:ascii="Tw Cen MT" w:hAnsi="Tw Cen MT"/>
          <w:sz w:val="24"/>
          <w:szCs w:val="24"/>
        </w:rPr>
        <w:fldChar w:fldCharType="begin"/>
      </w:r>
      <w:r w:rsidR="001766C0" w:rsidRPr="002A5FAE">
        <w:rPr>
          <w:rFonts w:ascii="Tw Cen MT" w:hAnsi="Tw Cen MT"/>
          <w:sz w:val="24"/>
          <w:szCs w:val="24"/>
        </w:rPr>
        <w:instrText>HYPERLINK "mailto:enlight@ehu.eus"</w:instrText>
      </w:r>
      <w:r w:rsidR="001766C0" w:rsidRPr="002A5FAE">
        <w:rPr>
          <w:rFonts w:ascii="Tw Cen MT" w:hAnsi="Tw Cen MT"/>
          <w:sz w:val="24"/>
          <w:szCs w:val="24"/>
        </w:rPr>
      </w:r>
      <w:r w:rsidR="001766C0" w:rsidRPr="002A5FAE">
        <w:rPr>
          <w:rFonts w:ascii="Tw Cen MT" w:hAnsi="Tw Cen MT"/>
          <w:sz w:val="24"/>
          <w:szCs w:val="24"/>
        </w:rPr>
        <w:fldChar w:fldCharType="separate"/>
      </w:r>
      <w:r w:rsidR="001766C0" w:rsidRPr="002A5FAE">
        <w:rPr>
          <w:rStyle w:val="Hyperlink"/>
          <w:rFonts w:ascii="Tw Cen MT" w:hAnsi="Tw Cen MT"/>
          <w:sz w:val="24"/>
          <w:szCs w:val="24"/>
        </w:rPr>
        <w:t>enlight@ehu.eus</w:t>
      </w:r>
      <w:r w:rsidR="001766C0" w:rsidRPr="002A5FAE">
        <w:rPr>
          <w:rFonts w:ascii="Tw Cen MT" w:hAnsi="Tw Cen MT"/>
          <w:sz w:val="24"/>
          <w:szCs w:val="24"/>
        </w:rPr>
        <w:fldChar w:fldCharType="end"/>
      </w:r>
      <w:r w:rsidR="001766C0" w:rsidRPr="002A5FAE">
        <w:rPr>
          <w:rFonts w:ascii="Tw Cen MT" w:hAnsi="Tw Cen MT"/>
          <w:sz w:val="24"/>
          <w:szCs w:val="24"/>
        </w:rPr>
        <w:t>)</w:t>
      </w:r>
      <w:r w:rsidR="001766C0" w:rsidRPr="002A5FAE">
        <w:rPr>
          <w:rFonts w:ascii="Tw Cen MT" w:hAnsi="Tw Cen MT"/>
          <w:sz w:val="24"/>
          <w:szCs w:val="24"/>
        </w:rPr>
        <w:br/>
        <w:t xml:space="preserve">(University of Bern - </w:t>
      </w:r>
      <w:r w:rsidR="001766C0" w:rsidRPr="002A5FAE">
        <w:rPr>
          <w:rFonts w:ascii="Tw Cen MT" w:hAnsi="Tw Cen MT"/>
          <w:sz w:val="24"/>
          <w:szCs w:val="24"/>
        </w:rPr>
        <w:fldChar w:fldCharType="begin"/>
      </w:r>
      <w:r w:rsidR="001766C0" w:rsidRPr="002A5FAE">
        <w:rPr>
          <w:rFonts w:ascii="Tw Cen MT" w:hAnsi="Tw Cen MT"/>
          <w:sz w:val="24"/>
          <w:szCs w:val="24"/>
        </w:rPr>
        <w:instrText>HYPERLINK "mailto:enlight@unibe.ch"</w:instrText>
      </w:r>
      <w:r w:rsidR="001766C0" w:rsidRPr="002A5FAE">
        <w:rPr>
          <w:rFonts w:ascii="Tw Cen MT" w:hAnsi="Tw Cen MT"/>
          <w:sz w:val="24"/>
          <w:szCs w:val="24"/>
        </w:rPr>
      </w:r>
      <w:r w:rsidR="001766C0" w:rsidRPr="002A5FAE">
        <w:rPr>
          <w:rFonts w:ascii="Tw Cen MT" w:hAnsi="Tw Cen MT"/>
          <w:sz w:val="24"/>
          <w:szCs w:val="24"/>
        </w:rPr>
        <w:fldChar w:fldCharType="separate"/>
      </w:r>
      <w:r w:rsidR="001766C0" w:rsidRPr="002A5FAE">
        <w:rPr>
          <w:rStyle w:val="Hyperlink"/>
          <w:rFonts w:ascii="Tw Cen MT" w:hAnsi="Tw Cen MT"/>
          <w:sz w:val="24"/>
          <w:szCs w:val="24"/>
        </w:rPr>
        <w:t>enlight@unibe.ch</w:t>
      </w:r>
      <w:r w:rsidR="001766C0" w:rsidRPr="002A5FAE">
        <w:rPr>
          <w:rFonts w:ascii="Tw Cen MT" w:hAnsi="Tw Cen MT"/>
          <w:sz w:val="24"/>
          <w:szCs w:val="24"/>
        </w:rPr>
        <w:fldChar w:fldCharType="end"/>
      </w:r>
      <w:r w:rsidR="001766C0" w:rsidRPr="002A5FAE">
        <w:rPr>
          <w:rFonts w:ascii="Tw Cen MT" w:hAnsi="Tw Cen MT"/>
          <w:sz w:val="24"/>
          <w:szCs w:val="24"/>
        </w:rPr>
        <w:t>)</w:t>
      </w:r>
      <w:r w:rsidR="001766C0" w:rsidRPr="002A5FAE">
        <w:rPr>
          <w:rFonts w:ascii="Tw Cen MT" w:hAnsi="Tw Cen MT"/>
          <w:sz w:val="24"/>
          <w:szCs w:val="24"/>
        </w:rPr>
        <w:br/>
        <w:t xml:space="preserve">(University of Bordeaux - </w:t>
      </w:r>
      <w:r w:rsidR="00CA1551" w:rsidRPr="002A5FAE">
        <w:rPr>
          <w:rFonts w:ascii="Tw Cen MT" w:hAnsi="Tw Cen MT"/>
          <w:sz w:val="24"/>
          <w:szCs w:val="24"/>
        </w:rPr>
        <w:fldChar w:fldCharType="begin"/>
      </w:r>
      <w:r w:rsidR="00CA1551" w:rsidRPr="002A5FAE">
        <w:rPr>
          <w:rFonts w:ascii="Tw Cen MT" w:hAnsi="Tw Cen MT"/>
          <w:sz w:val="24"/>
          <w:szCs w:val="24"/>
        </w:rPr>
        <w:instrText>HYPERLINK "mailto:enlight@u-bordeaux.fr"</w:instrText>
      </w:r>
      <w:r w:rsidR="00CA1551" w:rsidRPr="002A5FAE">
        <w:rPr>
          <w:rFonts w:ascii="Tw Cen MT" w:hAnsi="Tw Cen MT"/>
          <w:sz w:val="24"/>
          <w:szCs w:val="24"/>
        </w:rPr>
      </w:r>
      <w:r w:rsidR="00CA1551" w:rsidRPr="002A5FAE">
        <w:rPr>
          <w:rFonts w:ascii="Tw Cen MT" w:hAnsi="Tw Cen MT"/>
          <w:sz w:val="24"/>
          <w:szCs w:val="24"/>
        </w:rPr>
        <w:fldChar w:fldCharType="separate"/>
      </w:r>
      <w:r w:rsidR="00CA1551" w:rsidRPr="002A5FAE">
        <w:rPr>
          <w:rStyle w:val="Hyperlink"/>
          <w:rFonts w:ascii="Tw Cen MT" w:hAnsi="Tw Cen MT"/>
          <w:sz w:val="24"/>
          <w:szCs w:val="24"/>
        </w:rPr>
        <w:t>enlight@u-bordeaux.fr</w:t>
      </w:r>
      <w:r w:rsidR="00CA1551" w:rsidRPr="002A5FAE">
        <w:rPr>
          <w:rFonts w:ascii="Tw Cen MT" w:hAnsi="Tw Cen MT"/>
          <w:sz w:val="24"/>
          <w:szCs w:val="24"/>
        </w:rPr>
        <w:fldChar w:fldCharType="end"/>
      </w:r>
      <w:r w:rsidR="001766C0" w:rsidRPr="002A5FAE">
        <w:rPr>
          <w:rFonts w:ascii="Tw Cen MT" w:hAnsi="Tw Cen MT"/>
          <w:sz w:val="24"/>
          <w:szCs w:val="24"/>
        </w:rPr>
        <w:t>)</w:t>
      </w:r>
      <w:r w:rsidR="00CA1551" w:rsidRPr="002A5FAE">
        <w:rPr>
          <w:rFonts w:ascii="Tw Cen MT" w:hAnsi="Tw Cen MT"/>
          <w:sz w:val="24"/>
          <w:szCs w:val="24"/>
        </w:rPr>
        <w:t xml:space="preserve"> </w:t>
      </w:r>
      <w:r w:rsidR="001766C0" w:rsidRPr="002A5FAE">
        <w:rPr>
          <w:rFonts w:ascii="Tw Cen MT" w:hAnsi="Tw Cen MT"/>
          <w:sz w:val="24"/>
          <w:szCs w:val="24"/>
        </w:rPr>
        <w:br/>
        <w:t xml:space="preserve">(Comenius University of Bratislava - </w:t>
      </w:r>
      <w:r w:rsidR="001766C0" w:rsidRPr="002A5FAE">
        <w:rPr>
          <w:rFonts w:ascii="Tw Cen MT" w:hAnsi="Tw Cen MT"/>
          <w:sz w:val="24"/>
          <w:szCs w:val="24"/>
        </w:rPr>
        <w:fldChar w:fldCharType="begin"/>
      </w:r>
      <w:r w:rsidR="001766C0" w:rsidRPr="002A5FAE">
        <w:rPr>
          <w:rFonts w:ascii="Tw Cen MT" w:hAnsi="Tw Cen MT"/>
          <w:sz w:val="24"/>
          <w:szCs w:val="24"/>
        </w:rPr>
        <w:instrText>HYPERLINK "mailto:enlight@uniba.sk"</w:instrText>
      </w:r>
      <w:r w:rsidR="001766C0" w:rsidRPr="002A5FAE">
        <w:rPr>
          <w:rFonts w:ascii="Tw Cen MT" w:hAnsi="Tw Cen MT"/>
          <w:sz w:val="24"/>
          <w:szCs w:val="24"/>
        </w:rPr>
      </w:r>
      <w:r w:rsidR="001766C0" w:rsidRPr="002A5FAE">
        <w:rPr>
          <w:rFonts w:ascii="Tw Cen MT" w:hAnsi="Tw Cen MT"/>
          <w:sz w:val="24"/>
          <w:szCs w:val="24"/>
        </w:rPr>
        <w:fldChar w:fldCharType="separate"/>
      </w:r>
      <w:r w:rsidR="001766C0" w:rsidRPr="002A5FAE">
        <w:rPr>
          <w:rStyle w:val="Hyperlink"/>
          <w:rFonts w:ascii="Tw Cen MT" w:hAnsi="Tw Cen MT"/>
          <w:sz w:val="24"/>
          <w:szCs w:val="24"/>
        </w:rPr>
        <w:t>enlight@uniba.sk</w:t>
      </w:r>
      <w:r w:rsidR="001766C0" w:rsidRPr="002A5FAE">
        <w:rPr>
          <w:rFonts w:ascii="Tw Cen MT" w:hAnsi="Tw Cen MT"/>
          <w:sz w:val="24"/>
          <w:szCs w:val="24"/>
        </w:rPr>
        <w:fldChar w:fldCharType="end"/>
      </w:r>
      <w:r w:rsidR="001766C0" w:rsidRPr="002A5FAE">
        <w:rPr>
          <w:rFonts w:ascii="Tw Cen MT" w:hAnsi="Tw Cen MT"/>
          <w:sz w:val="24"/>
          <w:szCs w:val="24"/>
        </w:rPr>
        <w:t>)</w:t>
      </w:r>
      <w:r w:rsidR="001766C0" w:rsidRPr="002A5FAE">
        <w:rPr>
          <w:rFonts w:ascii="Tw Cen MT" w:hAnsi="Tw Cen MT"/>
          <w:sz w:val="24"/>
          <w:szCs w:val="24"/>
        </w:rPr>
        <w:br/>
        <w:t xml:space="preserve">(University of Galway -  </w:t>
      </w:r>
      <w:r w:rsidR="001766C0" w:rsidRPr="002A5FAE">
        <w:rPr>
          <w:rFonts w:ascii="Tw Cen MT" w:hAnsi="Tw Cen MT"/>
          <w:sz w:val="24"/>
          <w:szCs w:val="24"/>
        </w:rPr>
        <w:fldChar w:fldCharType="begin"/>
      </w:r>
      <w:r w:rsidR="001766C0" w:rsidRPr="002A5FAE">
        <w:rPr>
          <w:rFonts w:ascii="Tw Cen MT" w:hAnsi="Tw Cen MT"/>
          <w:sz w:val="24"/>
          <w:szCs w:val="24"/>
        </w:rPr>
        <w:instrText>HYPERLINK "mailto:enlight@universityofgalway.ie"</w:instrText>
      </w:r>
      <w:r w:rsidR="001766C0" w:rsidRPr="002A5FAE">
        <w:rPr>
          <w:rFonts w:ascii="Tw Cen MT" w:hAnsi="Tw Cen MT"/>
          <w:sz w:val="24"/>
          <w:szCs w:val="24"/>
        </w:rPr>
      </w:r>
      <w:r w:rsidR="001766C0" w:rsidRPr="002A5FAE">
        <w:rPr>
          <w:rFonts w:ascii="Tw Cen MT" w:hAnsi="Tw Cen MT"/>
          <w:sz w:val="24"/>
          <w:szCs w:val="24"/>
        </w:rPr>
        <w:fldChar w:fldCharType="separate"/>
      </w:r>
      <w:r w:rsidR="001766C0" w:rsidRPr="002A5FAE">
        <w:rPr>
          <w:rStyle w:val="Hyperlink"/>
          <w:rFonts w:ascii="Tw Cen MT" w:hAnsi="Tw Cen MT"/>
          <w:sz w:val="24"/>
          <w:szCs w:val="24"/>
        </w:rPr>
        <w:t>enlight@universityofgalway.ie</w:t>
      </w:r>
      <w:r w:rsidR="001766C0" w:rsidRPr="002A5FAE">
        <w:rPr>
          <w:rFonts w:ascii="Tw Cen MT" w:hAnsi="Tw Cen MT"/>
          <w:sz w:val="24"/>
          <w:szCs w:val="24"/>
        </w:rPr>
        <w:fldChar w:fldCharType="end"/>
      </w:r>
      <w:r w:rsidR="001766C0" w:rsidRPr="002A5FAE">
        <w:rPr>
          <w:rFonts w:ascii="Tw Cen MT" w:hAnsi="Tw Cen MT"/>
          <w:sz w:val="24"/>
          <w:szCs w:val="24"/>
        </w:rPr>
        <w:t>)</w:t>
      </w:r>
      <w:r w:rsidR="001766C0" w:rsidRPr="002A5FAE">
        <w:rPr>
          <w:rFonts w:ascii="Tw Cen MT" w:hAnsi="Tw Cen MT"/>
          <w:sz w:val="24"/>
          <w:szCs w:val="24"/>
        </w:rPr>
        <w:br/>
        <w:t xml:space="preserve">(Ghent University - </w:t>
      </w:r>
      <w:r w:rsidR="00EC373A" w:rsidRPr="002A5FAE">
        <w:rPr>
          <w:rFonts w:ascii="Tw Cen MT" w:hAnsi="Tw Cen MT"/>
          <w:sz w:val="24"/>
          <w:szCs w:val="24"/>
        </w:rPr>
        <w:fldChar w:fldCharType="begin"/>
      </w:r>
      <w:r w:rsidR="00EC373A" w:rsidRPr="002A5FAE">
        <w:rPr>
          <w:rFonts w:ascii="Tw Cen MT" w:hAnsi="Tw Cen MT"/>
          <w:sz w:val="24"/>
          <w:szCs w:val="24"/>
        </w:rPr>
        <w:instrText>HYPERLINK "mailto:enlight@ugent.be"</w:instrText>
      </w:r>
      <w:r w:rsidR="00EC373A" w:rsidRPr="002A5FAE">
        <w:rPr>
          <w:rFonts w:ascii="Tw Cen MT" w:hAnsi="Tw Cen MT"/>
          <w:sz w:val="24"/>
          <w:szCs w:val="24"/>
        </w:rPr>
      </w:r>
      <w:r w:rsidR="00EC373A" w:rsidRPr="002A5FAE">
        <w:rPr>
          <w:rFonts w:ascii="Tw Cen MT" w:hAnsi="Tw Cen MT"/>
          <w:sz w:val="24"/>
          <w:szCs w:val="24"/>
        </w:rPr>
        <w:fldChar w:fldCharType="separate"/>
      </w:r>
      <w:r w:rsidR="00EC373A" w:rsidRPr="002A5FAE">
        <w:rPr>
          <w:rStyle w:val="Hyperlink"/>
          <w:rFonts w:ascii="Tw Cen MT" w:hAnsi="Tw Cen MT"/>
          <w:sz w:val="24"/>
          <w:szCs w:val="24"/>
        </w:rPr>
        <w:t>enlight@ugent.be</w:t>
      </w:r>
      <w:r w:rsidR="00EC373A" w:rsidRPr="002A5FAE">
        <w:rPr>
          <w:rFonts w:ascii="Tw Cen MT" w:hAnsi="Tw Cen MT"/>
          <w:sz w:val="24"/>
          <w:szCs w:val="24"/>
        </w:rPr>
        <w:fldChar w:fldCharType="end"/>
      </w:r>
      <w:r w:rsidR="00EC373A" w:rsidRPr="002A5FAE">
        <w:rPr>
          <w:rFonts w:ascii="Tw Cen MT" w:hAnsi="Tw Cen MT"/>
          <w:sz w:val="24"/>
          <w:szCs w:val="24"/>
        </w:rPr>
        <w:t>)</w:t>
      </w:r>
      <w:r w:rsidR="00EC373A" w:rsidRPr="002A5FAE">
        <w:rPr>
          <w:rFonts w:ascii="Tw Cen MT" w:hAnsi="Tw Cen MT"/>
          <w:sz w:val="24"/>
          <w:szCs w:val="24"/>
        </w:rPr>
        <w:br/>
        <w:t xml:space="preserve">(University of Göttingen - </w:t>
      </w:r>
      <w:r w:rsidR="00EC373A" w:rsidRPr="002A5FAE">
        <w:rPr>
          <w:rFonts w:ascii="Tw Cen MT" w:hAnsi="Tw Cen MT"/>
          <w:sz w:val="24"/>
          <w:szCs w:val="24"/>
        </w:rPr>
        <w:fldChar w:fldCharType="begin"/>
      </w:r>
      <w:r w:rsidR="00EC373A" w:rsidRPr="002A5FAE">
        <w:rPr>
          <w:rFonts w:ascii="Tw Cen MT" w:hAnsi="Tw Cen MT"/>
          <w:sz w:val="24"/>
          <w:szCs w:val="24"/>
        </w:rPr>
        <w:instrText>HYPERLINK "mailto:enlight@uni-goettingen.de"</w:instrText>
      </w:r>
      <w:r w:rsidR="00EC373A" w:rsidRPr="002A5FAE">
        <w:rPr>
          <w:rFonts w:ascii="Tw Cen MT" w:hAnsi="Tw Cen MT"/>
          <w:sz w:val="24"/>
          <w:szCs w:val="24"/>
        </w:rPr>
      </w:r>
      <w:r w:rsidR="00EC373A" w:rsidRPr="002A5FAE">
        <w:rPr>
          <w:rFonts w:ascii="Tw Cen MT" w:hAnsi="Tw Cen MT"/>
          <w:sz w:val="24"/>
          <w:szCs w:val="24"/>
        </w:rPr>
        <w:fldChar w:fldCharType="separate"/>
      </w:r>
      <w:r w:rsidR="00EC373A" w:rsidRPr="002A5FAE">
        <w:rPr>
          <w:rStyle w:val="Hyperlink"/>
          <w:rFonts w:ascii="Tw Cen MT" w:hAnsi="Tw Cen MT"/>
          <w:sz w:val="24"/>
          <w:szCs w:val="24"/>
        </w:rPr>
        <w:t>enlight@uni-goettingen.de</w:t>
      </w:r>
      <w:r w:rsidR="00EC373A" w:rsidRPr="002A5FAE">
        <w:rPr>
          <w:rFonts w:ascii="Tw Cen MT" w:hAnsi="Tw Cen MT"/>
          <w:sz w:val="24"/>
          <w:szCs w:val="24"/>
        </w:rPr>
        <w:fldChar w:fldCharType="end"/>
      </w:r>
      <w:r w:rsidR="00EC373A" w:rsidRPr="002A5FAE">
        <w:rPr>
          <w:rFonts w:ascii="Tw Cen MT" w:hAnsi="Tw Cen MT"/>
          <w:sz w:val="24"/>
          <w:szCs w:val="24"/>
        </w:rPr>
        <w:t>)</w:t>
      </w:r>
      <w:r w:rsidR="00EC373A" w:rsidRPr="002A5FAE">
        <w:rPr>
          <w:rFonts w:ascii="Tw Cen MT" w:hAnsi="Tw Cen MT"/>
          <w:sz w:val="24"/>
          <w:szCs w:val="24"/>
        </w:rPr>
        <w:br/>
        <w:t xml:space="preserve">(University of Groningen - </w:t>
      </w:r>
      <w:r w:rsidR="00EC373A" w:rsidRPr="002A5FAE">
        <w:rPr>
          <w:rFonts w:ascii="Tw Cen MT" w:hAnsi="Tw Cen MT"/>
          <w:sz w:val="24"/>
          <w:szCs w:val="24"/>
        </w:rPr>
        <w:fldChar w:fldCharType="begin"/>
      </w:r>
      <w:r w:rsidR="00EC373A" w:rsidRPr="002A5FAE">
        <w:rPr>
          <w:rFonts w:ascii="Tw Cen MT" w:hAnsi="Tw Cen MT"/>
          <w:sz w:val="24"/>
          <w:szCs w:val="24"/>
        </w:rPr>
        <w:instrText>HYPERLINK "mailto:enlight@rug.nl"</w:instrText>
      </w:r>
      <w:r w:rsidR="00EC373A" w:rsidRPr="002A5FAE">
        <w:rPr>
          <w:rFonts w:ascii="Tw Cen MT" w:hAnsi="Tw Cen MT"/>
          <w:sz w:val="24"/>
          <w:szCs w:val="24"/>
        </w:rPr>
      </w:r>
      <w:r w:rsidR="00EC373A" w:rsidRPr="002A5FAE">
        <w:rPr>
          <w:rFonts w:ascii="Tw Cen MT" w:hAnsi="Tw Cen MT"/>
          <w:sz w:val="24"/>
          <w:szCs w:val="24"/>
        </w:rPr>
        <w:fldChar w:fldCharType="separate"/>
      </w:r>
      <w:r w:rsidR="00EC373A" w:rsidRPr="002A5FAE">
        <w:rPr>
          <w:rStyle w:val="Hyperlink"/>
          <w:rFonts w:ascii="Tw Cen MT" w:hAnsi="Tw Cen MT"/>
          <w:sz w:val="24"/>
          <w:szCs w:val="24"/>
        </w:rPr>
        <w:t>enlight@rug.nl</w:t>
      </w:r>
      <w:r w:rsidR="00EC373A" w:rsidRPr="002A5FAE">
        <w:rPr>
          <w:rFonts w:ascii="Tw Cen MT" w:hAnsi="Tw Cen MT"/>
          <w:sz w:val="24"/>
          <w:szCs w:val="24"/>
        </w:rPr>
        <w:fldChar w:fldCharType="end"/>
      </w:r>
      <w:r w:rsidR="00EC373A" w:rsidRPr="002A5FAE">
        <w:rPr>
          <w:rFonts w:ascii="Tw Cen MT" w:hAnsi="Tw Cen MT"/>
          <w:sz w:val="24"/>
          <w:szCs w:val="24"/>
        </w:rPr>
        <w:t>)</w:t>
      </w:r>
      <w:r w:rsidR="00EC373A" w:rsidRPr="002A5FAE">
        <w:rPr>
          <w:rFonts w:ascii="Tw Cen MT" w:hAnsi="Tw Cen MT"/>
          <w:sz w:val="24"/>
          <w:szCs w:val="24"/>
        </w:rPr>
        <w:br/>
      </w:r>
      <w:r w:rsidR="008E6610" w:rsidRPr="002A5FAE">
        <w:rPr>
          <w:rFonts w:ascii="Tw Cen MT" w:hAnsi="Tw Cen MT"/>
          <w:sz w:val="24"/>
          <w:szCs w:val="24"/>
        </w:rPr>
        <w:t xml:space="preserve">(University of Tartu - </w:t>
      </w:r>
      <w:r w:rsidR="008E6610" w:rsidRPr="002A5FAE">
        <w:rPr>
          <w:rFonts w:ascii="Tw Cen MT" w:hAnsi="Tw Cen MT"/>
          <w:sz w:val="24"/>
          <w:szCs w:val="24"/>
        </w:rPr>
        <w:fldChar w:fldCharType="begin"/>
      </w:r>
      <w:r w:rsidR="008E6610" w:rsidRPr="002A5FAE">
        <w:rPr>
          <w:rFonts w:ascii="Tw Cen MT" w:hAnsi="Tw Cen MT"/>
          <w:sz w:val="24"/>
          <w:szCs w:val="24"/>
        </w:rPr>
        <w:instrText>HYPERLINK "mailto:enlight@ut.ee"</w:instrText>
      </w:r>
      <w:r w:rsidR="008E6610" w:rsidRPr="002A5FAE">
        <w:rPr>
          <w:rFonts w:ascii="Tw Cen MT" w:hAnsi="Tw Cen MT"/>
          <w:sz w:val="24"/>
          <w:szCs w:val="24"/>
        </w:rPr>
      </w:r>
      <w:r w:rsidR="008E6610" w:rsidRPr="002A5FAE">
        <w:rPr>
          <w:rFonts w:ascii="Tw Cen MT" w:hAnsi="Tw Cen MT"/>
          <w:sz w:val="24"/>
          <w:szCs w:val="24"/>
        </w:rPr>
        <w:fldChar w:fldCharType="separate"/>
      </w:r>
      <w:r w:rsidR="008E6610" w:rsidRPr="002A5FAE">
        <w:rPr>
          <w:rStyle w:val="Hyperlink"/>
          <w:rFonts w:ascii="Tw Cen MT" w:hAnsi="Tw Cen MT"/>
          <w:sz w:val="24"/>
          <w:szCs w:val="24"/>
        </w:rPr>
        <w:t>enlight@ut.ee</w:t>
      </w:r>
      <w:r w:rsidR="008E6610" w:rsidRPr="002A5FAE">
        <w:rPr>
          <w:rFonts w:ascii="Tw Cen MT" w:hAnsi="Tw Cen MT"/>
          <w:sz w:val="24"/>
          <w:szCs w:val="24"/>
        </w:rPr>
        <w:fldChar w:fldCharType="end"/>
      </w:r>
      <w:r w:rsidR="008E6610" w:rsidRPr="002A5FAE">
        <w:rPr>
          <w:rFonts w:ascii="Tw Cen MT" w:hAnsi="Tw Cen MT"/>
          <w:sz w:val="24"/>
          <w:szCs w:val="24"/>
        </w:rPr>
        <w:t>)</w:t>
      </w:r>
      <w:r w:rsidR="008E6610" w:rsidRPr="002A5FAE">
        <w:rPr>
          <w:rFonts w:ascii="Tw Cen MT" w:hAnsi="Tw Cen MT"/>
          <w:sz w:val="24"/>
          <w:szCs w:val="24"/>
        </w:rPr>
        <w:br/>
        <w:t xml:space="preserve">(Uppsala University - </w:t>
      </w:r>
      <w:r w:rsidR="00CA1551" w:rsidRPr="002A5FAE">
        <w:rPr>
          <w:rFonts w:ascii="Tw Cen MT" w:hAnsi="Tw Cen MT"/>
          <w:sz w:val="24"/>
          <w:szCs w:val="24"/>
        </w:rPr>
        <w:fldChar w:fldCharType="begin"/>
      </w:r>
      <w:r w:rsidR="00CA1551" w:rsidRPr="002A5FAE">
        <w:rPr>
          <w:rFonts w:ascii="Tw Cen MT" w:hAnsi="Tw Cen MT"/>
          <w:sz w:val="24"/>
          <w:szCs w:val="24"/>
        </w:rPr>
        <w:instrText>HYPERLINK "mailto:enlight@uu.se"</w:instrText>
      </w:r>
      <w:r w:rsidR="00CA1551" w:rsidRPr="002A5FAE">
        <w:rPr>
          <w:rFonts w:ascii="Tw Cen MT" w:hAnsi="Tw Cen MT"/>
          <w:sz w:val="24"/>
          <w:szCs w:val="24"/>
        </w:rPr>
      </w:r>
      <w:r w:rsidR="00CA1551" w:rsidRPr="002A5FAE">
        <w:rPr>
          <w:rFonts w:ascii="Tw Cen MT" w:hAnsi="Tw Cen MT"/>
          <w:sz w:val="24"/>
          <w:szCs w:val="24"/>
        </w:rPr>
        <w:fldChar w:fldCharType="separate"/>
      </w:r>
      <w:r w:rsidR="00CA1551" w:rsidRPr="002A5FAE">
        <w:rPr>
          <w:rStyle w:val="Hyperlink"/>
          <w:rFonts w:ascii="Tw Cen MT" w:hAnsi="Tw Cen MT"/>
          <w:sz w:val="24"/>
          <w:szCs w:val="24"/>
        </w:rPr>
        <w:t>enlight@uu.se</w:t>
      </w:r>
      <w:r w:rsidR="00CA1551" w:rsidRPr="002A5FAE">
        <w:rPr>
          <w:rFonts w:ascii="Tw Cen MT" w:hAnsi="Tw Cen MT"/>
          <w:sz w:val="24"/>
          <w:szCs w:val="24"/>
        </w:rPr>
        <w:fldChar w:fldCharType="end"/>
      </w:r>
      <w:r w:rsidR="008E6610" w:rsidRPr="002A5FAE">
        <w:rPr>
          <w:rFonts w:ascii="Tw Cen MT" w:hAnsi="Tw Cen MT"/>
          <w:sz w:val="24"/>
          <w:szCs w:val="24"/>
        </w:rPr>
        <w:t>)</w:t>
      </w:r>
      <w:r w:rsidR="00CA1551" w:rsidRPr="002A5FAE">
        <w:rPr>
          <w:rFonts w:ascii="Tw Cen MT" w:hAnsi="Tw Cen MT"/>
          <w:sz w:val="24"/>
          <w:szCs w:val="24"/>
        </w:rPr>
        <w:t xml:space="preserve"> </w:t>
      </w:r>
    </w:p>
    <w:p w14:paraId="63DE3FDB" w14:textId="3265145C" w:rsidR="078B6E19" w:rsidRPr="002A5FAE" w:rsidRDefault="00D621BB" w:rsidP="078B6E19">
      <w:pPr>
        <w:rPr>
          <w:rFonts w:ascii="Tw Cen MT" w:hAnsi="Tw Cen MT" w:cstheme="minorHAnsi"/>
          <w:b/>
          <w:bCs/>
          <w:sz w:val="24"/>
          <w:szCs w:val="24"/>
          <w:lang w:val="en-GB"/>
        </w:rPr>
      </w:pPr>
      <w:r w:rsidRPr="002A5FAE">
        <w:rPr>
          <w:rFonts w:ascii="Tw Cen MT" w:hAnsi="Tw Cen MT" w:cstheme="majorHAnsi"/>
          <w:b/>
          <w:bCs/>
          <w:sz w:val="24"/>
          <w:szCs w:val="24"/>
        </w:rPr>
        <w:br w:type="page"/>
      </w:r>
      <w:r w:rsidR="00750EF2" w:rsidRPr="002A5FAE">
        <w:rPr>
          <w:rFonts w:ascii="Tw Cen MT" w:hAnsi="Tw Cen MT" w:cstheme="minorHAnsi"/>
          <w:b/>
          <w:bCs/>
          <w:sz w:val="24"/>
          <w:szCs w:val="24"/>
        </w:rPr>
        <w:lastRenderedPageBreak/>
        <w:t>A</w:t>
      </w:r>
      <w:proofErr w:type="spellStart"/>
      <w:r w:rsidR="000C6652" w:rsidRPr="002A5FAE">
        <w:rPr>
          <w:rFonts w:ascii="Tw Cen MT" w:hAnsi="Tw Cen MT" w:cstheme="minorHAnsi"/>
          <w:b/>
          <w:bCs/>
          <w:sz w:val="24"/>
          <w:szCs w:val="24"/>
          <w:lang w:val="en-GB"/>
        </w:rPr>
        <w:t>nnex</w:t>
      </w:r>
      <w:proofErr w:type="spellEnd"/>
      <w:r w:rsidR="000C6652" w:rsidRPr="002A5FAE">
        <w:rPr>
          <w:rFonts w:ascii="Tw Cen MT" w:hAnsi="Tw Cen MT" w:cstheme="minorHAnsi"/>
          <w:b/>
          <w:bCs/>
          <w:sz w:val="24"/>
          <w:szCs w:val="24"/>
          <w:lang w:val="en-GB"/>
        </w:rPr>
        <w:t xml:space="preserve"> I. </w:t>
      </w:r>
      <w:r w:rsidR="00987BAC" w:rsidRPr="002A5FAE">
        <w:rPr>
          <w:rFonts w:ascii="Tw Cen MT" w:hAnsi="Tw Cen MT" w:cstheme="minorHAnsi"/>
          <w:sz w:val="24"/>
          <w:szCs w:val="24"/>
          <w:lang w:val="en-GB"/>
        </w:rPr>
        <w:t>Glossary of terms</w:t>
      </w:r>
      <w:r w:rsidR="00987BAC" w:rsidRPr="002A5FAE">
        <w:rPr>
          <w:rStyle w:val="FootnoteReference"/>
          <w:rFonts w:ascii="Tw Cen MT" w:hAnsi="Tw Cen MT" w:cstheme="minorHAnsi"/>
          <w:sz w:val="24"/>
          <w:szCs w:val="24"/>
          <w:lang w:val="en-GB"/>
        </w:rPr>
        <w:footnoteReference w:id="3"/>
      </w:r>
    </w:p>
    <w:p w14:paraId="30D4CB5B" w14:textId="7DF8A7A4" w:rsidR="006335EE" w:rsidRPr="002A5FAE" w:rsidRDefault="00110028" w:rsidP="00C12D36">
      <w:pPr>
        <w:jc w:val="both"/>
        <w:rPr>
          <w:rFonts w:ascii="Tw Cen MT" w:hAnsi="Tw Cen MT"/>
          <w:b/>
          <w:bCs/>
          <w:sz w:val="24"/>
          <w:szCs w:val="24"/>
          <w:lang w:val="en-GB"/>
        </w:rPr>
      </w:pPr>
      <w:r w:rsidRPr="002A5FAE">
        <w:rPr>
          <w:rFonts w:ascii="Tw Cen MT" w:hAnsi="Tw Cen MT"/>
          <w:b/>
          <w:bCs/>
          <w:sz w:val="24"/>
          <w:szCs w:val="24"/>
          <w:lang w:val="en-GB"/>
        </w:rPr>
        <w:t>Joint</w:t>
      </w:r>
      <w:r w:rsidR="00912A39" w:rsidRPr="002A5FAE">
        <w:rPr>
          <w:rFonts w:ascii="Tw Cen MT" w:hAnsi="Tw Cen MT"/>
          <w:b/>
          <w:bCs/>
          <w:sz w:val="24"/>
          <w:szCs w:val="24"/>
          <w:lang w:val="en-GB"/>
        </w:rPr>
        <w:t xml:space="preserve"> study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 xml:space="preserve"> programme</w:t>
      </w:r>
    </w:p>
    <w:p w14:paraId="16A5AAD1" w14:textId="29EA4777" w:rsidR="00110028" w:rsidRPr="002A5FAE" w:rsidRDefault="00110028" w:rsidP="00C12D36">
      <w:pPr>
        <w:jc w:val="both"/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sz w:val="24"/>
          <w:szCs w:val="24"/>
          <w:lang w:val="en-GB"/>
        </w:rPr>
        <w:t xml:space="preserve">“An integrated curriculum coordinated and offered jointly </w:t>
      </w:r>
      <w:r w:rsidR="00832A2A" w:rsidRPr="002A5FAE">
        <w:rPr>
          <w:rFonts w:ascii="Tw Cen MT" w:hAnsi="Tw Cen MT"/>
          <w:sz w:val="24"/>
          <w:szCs w:val="24"/>
          <w:lang w:val="en-GB"/>
        </w:rPr>
        <w:t xml:space="preserve">by different </w:t>
      </w:r>
      <w:r w:rsidRPr="002A5FAE">
        <w:rPr>
          <w:rFonts w:ascii="Tw Cen MT" w:hAnsi="Tw Cen MT"/>
          <w:sz w:val="24"/>
          <w:szCs w:val="24"/>
          <w:lang w:val="en-GB"/>
        </w:rPr>
        <w:t xml:space="preserve">higher education institutions and leading to a </w:t>
      </w:r>
      <w:r w:rsidR="00BD6DEF" w:rsidRPr="002A5FAE">
        <w:rPr>
          <w:rFonts w:ascii="Tw Cen MT" w:hAnsi="Tw Cen MT"/>
          <w:sz w:val="24"/>
          <w:szCs w:val="24"/>
          <w:lang w:val="en-GB"/>
        </w:rPr>
        <w:t>joint degree or double/multiple degrees</w:t>
      </w:r>
      <w:r w:rsidR="00BD4F71" w:rsidRPr="002A5FAE">
        <w:rPr>
          <w:rFonts w:ascii="Tw Cen MT" w:hAnsi="Tw Cen MT"/>
          <w:sz w:val="24"/>
          <w:szCs w:val="24"/>
          <w:lang w:val="en-GB"/>
        </w:rPr>
        <w:t>.</w:t>
      </w:r>
      <w:r w:rsidRPr="002A5FAE">
        <w:rPr>
          <w:rFonts w:ascii="Tw Cen MT" w:hAnsi="Tw Cen MT"/>
          <w:sz w:val="24"/>
          <w:szCs w:val="24"/>
          <w:lang w:val="en-GB"/>
        </w:rPr>
        <w:t>”</w:t>
      </w:r>
      <w:r w:rsidR="00C239B4" w:rsidRPr="002A5FAE">
        <w:rPr>
          <w:rFonts w:ascii="Tw Cen MT" w:hAnsi="Tw Cen MT"/>
          <w:sz w:val="24"/>
          <w:szCs w:val="24"/>
          <w:lang w:val="en-GB"/>
        </w:rPr>
        <w:t xml:space="preserve"> </w:t>
      </w:r>
    </w:p>
    <w:p w14:paraId="4A1EE7DA" w14:textId="47A8EC3B" w:rsidR="00046F5A" w:rsidRPr="002A5FAE" w:rsidRDefault="00046F5A" w:rsidP="00C12D36">
      <w:pPr>
        <w:jc w:val="both"/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sz w:val="24"/>
          <w:szCs w:val="24"/>
          <w:lang w:val="en-GB"/>
        </w:rPr>
        <w:t xml:space="preserve">The joint study programme </w:t>
      </w:r>
      <w:r w:rsidR="00EB4F17" w:rsidRPr="002A5FAE">
        <w:rPr>
          <w:rFonts w:ascii="Tw Cen MT" w:hAnsi="Tw Cen MT"/>
          <w:sz w:val="24"/>
          <w:szCs w:val="24"/>
          <w:lang w:val="en-GB"/>
        </w:rPr>
        <w:t>should lead to new jointly developed programme-level learning outcomes, but can b</w:t>
      </w:r>
      <w:r w:rsidRPr="002A5FAE">
        <w:rPr>
          <w:rFonts w:ascii="Tw Cen MT" w:hAnsi="Tw Cen MT"/>
          <w:sz w:val="24"/>
          <w:szCs w:val="24"/>
          <w:lang w:val="en-GB"/>
        </w:rPr>
        <w:t xml:space="preserve">e based on existing and/or newly developed </w:t>
      </w:r>
      <w:r w:rsidR="00C9503D" w:rsidRPr="002A5FAE">
        <w:rPr>
          <w:rFonts w:ascii="Tw Cen MT" w:hAnsi="Tw Cen MT"/>
          <w:sz w:val="24"/>
          <w:szCs w:val="24"/>
          <w:lang w:val="en-GB"/>
        </w:rPr>
        <w:t xml:space="preserve">course offer at the respective participating </w:t>
      </w:r>
      <w:r w:rsidR="00A16FAD" w:rsidRPr="002A5FAE">
        <w:rPr>
          <w:rFonts w:ascii="Tw Cen MT" w:hAnsi="Tw Cen MT"/>
          <w:sz w:val="24"/>
          <w:szCs w:val="24"/>
          <w:lang w:val="en-GB"/>
        </w:rPr>
        <w:t>institutions</w:t>
      </w:r>
      <w:r w:rsidR="00EB4F17" w:rsidRPr="002A5FAE">
        <w:rPr>
          <w:rFonts w:ascii="Tw Cen MT" w:hAnsi="Tw Cen MT"/>
          <w:sz w:val="24"/>
          <w:szCs w:val="24"/>
          <w:lang w:val="en-GB"/>
        </w:rPr>
        <w:t xml:space="preserve">. </w:t>
      </w:r>
      <w:r w:rsidR="00A16FAD" w:rsidRPr="002A5FAE">
        <w:rPr>
          <w:rFonts w:ascii="Tw Cen MT" w:hAnsi="Tw Cen MT"/>
          <w:sz w:val="24"/>
          <w:szCs w:val="24"/>
          <w:lang w:val="en-GB"/>
        </w:rPr>
        <w:t xml:space="preserve"> </w:t>
      </w:r>
    </w:p>
    <w:p w14:paraId="1F64F816" w14:textId="464D569F" w:rsidR="00BB5693" w:rsidRPr="002A5FAE" w:rsidRDefault="00BB5693" w:rsidP="00C12D36">
      <w:pPr>
        <w:jc w:val="both"/>
        <w:rPr>
          <w:rFonts w:ascii="Tw Cen MT" w:hAnsi="Tw Cen MT"/>
          <w:b/>
          <w:bCs/>
          <w:sz w:val="24"/>
          <w:szCs w:val="24"/>
          <w:lang w:val="en-GB"/>
        </w:rPr>
      </w:pPr>
      <w:r w:rsidRPr="002A5FAE">
        <w:rPr>
          <w:rFonts w:ascii="Tw Cen MT" w:hAnsi="Tw Cen MT"/>
          <w:b/>
          <w:bCs/>
          <w:sz w:val="24"/>
          <w:szCs w:val="24"/>
          <w:lang w:val="en-GB"/>
        </w:rPr>
        <w:t xml:space="preserve">Possible outcomes </w:t>
      </w:r>
      <w:r w:rsidR="00837C59" w:rsidRPr="002A5FAE">
        <w:rPr>
          <w:rFonts w:ascii="Tw Cen MT" w:hAnsi="Tw Cen MT"/>
          <w:b/>
          <w:bCs/>
          <w:sz w:val="24"/>
          <w:szCs w:val="24"/>
          <w:lang w:val="en-GB"/>
        </w:rPr>
        <w:t>in degree-awarding</w:t>
      </w:r>
      <w:r w:rsidR="001411E0" w:rsidRPr="002A5FAE">
        <w:rPr>
          <w:rFonts w:ascii="Tw Cen MT" w:hAnsi="Tw Cen MT"/>
          <w:b/>
          <w:bCs/>
          <w:sz w:val="24"/>
          <w:szCs w:val="24"/>
          <w:lang w:val="en-GB"/>
        </w:rPr>
        <w:t xml:space="preserve"> upon successful completion of the joint study programme</w:t>
      </w:r>
    </w:p>
    <w:p w14:paraId="75C7BA49" w14:textId="143FBE9E" w:rsidR="005B4FBA" w:rsidRPr="002A5FAE" w:rsidRDefault="005B4FBA" w:rsidP="009203EC">
      <w:pPr>
        <w:jc w:val="both"/>
        <w:rPr>
          <w:rFonts w:ascii="Tw Cen MT" w:hAnsi="Tw Cen MT"/>
          <w:b/>
          <w:bCs/>
          <w:sz w:val="24"/>
          <w:szCs w:val="24"/>
          <w:lang w:val="en-GB"/>
        </w:rPr>
      </w:pPr>
      <w:r w:rsidRPr="002A5FAE">
        <w:rPr>
          <w:rFonts w:ascii="Tw Cen MT" w:hAnsi="Tw Cen MT"/>
          <w:b/>
          <w:bCs/>
          <w:sz w:val="24"/>
          <w:szCs w:val="24"/>
          <w:lang w:val="en-GB"/>
        </w:rPr>
        <w:t>Joint d</w:t>
      </w:r>
      <w:r w:rsidR="00912A39" w:rsidRPr="002A5FAE">
        <w:rPr>
          <w:rFonts w:ascii="Tw Cen MT" w:hAnsi="Tw Cen MT"/>
          <w:b/>
          <w:bCs/>
          <w:sz w:val="24"/>
          <w:szCs w:val="24"/>
          <w:lang w:val="en-GB"/>
        </w:rPr>
        <w:t>egree</w:t>
      </w:r>
    </w:p>
    <w:p w14:paraId="02EF67D0" w14:textId="5676E344" w:rsidR="005B4FBA" w:rsidRPr="002A5FAE" w:rsidRDefault="005B4FBA" w:rsidP="00C12D36">
      <w:pPr>
        <w:jc w:val="both"/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sz w:val="24"/>
          <w:szCs w:val="24"/>
          <w:lang w:val="en-GB"/>
        </w:rPr>
        <w:t>“</w:t>
      </w:r>
      <w:r w:rsidR="00826900" w:rsidRPr="002A5FAE">
        <w:rPr>
          <w:rFonts w:ascii="Tw Cen MT" w:hAnsi="Tw Cen MT"/>
          <w:sz w:val="24"/>
          <w:szCs w:val="24"/>
          <w:lang w:val="en-GB"/>
        </w:rPr>
        <w:t xml:space="preserve">A single document awarded by higher education institutions </w:t>
      </w:r>
      <w:r w:rsidR="00BD4F71" w:rsidRPr="002A5FAE">
        <w:rPr>
          <w:rFonts w:ascii="Tw Cen MT" w:hAnsi="Tw Cen MT"/>
          <w:sz w:val="24"/>
          <w:szCs w:val="24"/>
          <w:lang w:val="en-GB"/>
        </w:rPr>
        <w:t>offering the joint</w:t>
      </w:r>
      <w:r w:rsidR="004B0955">
        <w:rPr>
          <w:rFonts w:ascii="Tw Cen MT" w:hAnsi="Tw Cen MT"/>
          <w:sz w:val="24"/>
          <w:szCs w:val="24"/>
          <w:lang w:val="en-GB"/>
        </w:rPr>
        <w:t xml:space="preserve"> </w:t>
      </w:r>
      <w:r w:rsidR="00BD4F71" w:rsidRPr="002A5FAE">
        <w:rPr>
          <w:rFonts w:ascii="Tw Cen MT" w:hAnsi="Tw Cen MT"/>
          <w:sz w:val="24"/>
          <w:szCs w:val="24"/>
          <w:lang w:val="en-GB"/>
        </w:rPr>
        <w:t>programme and nationally acknowledged as the recognised award of the joint programme.”</w:t>
      </w:r>
    </w:p>
    <w:p w14:paraId="23F8707E" w14:textId="5F8A7A96" w:rsidR="00110028" w:rsidRPr="002A5FAE" w:rsidRDefault="005B4FBA" w:rsidP="009203EC">
      <w:pPr>
        <w:jc w:val="both"/>
        <w:rPr>
          <w:rFonts w:ascii="Tw Cen MT" w:hAnsi="Tw Cen MT"/>
          <w:b/>
          <w:bCs/>
          <w:sz w:val="24"/>
          <w:szCs w:val="24"/>
          <w:lang w:val="en-GB"/>
        </w:rPr>
      </w:pPr>
      <w:r w:rsidRPr="002A5FAE">
        <w:rPr>
          <w:rFonts w:ascii="Tw Cen MT" w:hAnsi="Tw Cen MT"/>
          <w:b/>
          <w:bCs/>
          <w:sz w:val="24"/>
          <w:szCs w:val="24"/>
          <w:lang w:val="en-GB"/>
        </w:rPr>
        <w:t>Double</w:t>
      </w:r>
      <w:r w:rsidR="006C52AA" w:rsidRPr="002A5FAE">
        <w:rPr>
          <w:rFonts w:ascii="Tw Cen MT" w:hAnsi="Tw Cen MT"/>
          <w:b/>
          <w:bCs/>
          <w:sz w:val="24"/>
          <w:szCs w:val="24"/>
          <w:lang w:val="en-GB"/>
        </w:rPr>
        <w:t>/multiple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 xml:space="preserve"> degrees</w:t>
      </w:r>
    </w:p>
    <w:p w14:paraId="7880EDDE" w14:textId="2D7EA9F1" w:rsidR="00912A39" w:rsidRPr="002A5FAE" w:rsidRDefault="00912A39" w:rsidP="00C12D36">
      <w:pPr>
        <w:jc w:val="both"/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sz w:val="24"/>
          <w:szCs w:val="24"/>
          <w:lang w:val="en-GB"/>
        </w:rPr>
        <w:t>“</w:t>
      </w:r>
      <w:r w:rsidR="006C52AA" w:rsidRPr="002A5FAE">
        <w:rPr>
          <w:rFonts w:ascii="Tw Cen MT" w:hAnsi="Tw Cen MT"/>
          <w:sz w:val="24"/>
          <w:szCs w:val="24"/>
          <w:lang w:val="en-GB"/>
        </w:rPr>
        <w:t>Separate d</w:t>
      </w:r>
      <w:r w:rsidR="00415683" w:rsidRPr="002A5FAE">
        <w:rPr>
          <w:rFonts w:ascii="Tw Cen MT" w:hAnsi="Tw Cen MT"/>
          <w:sz w:val="24"/>
          <w:szCs w:val="24"/>
          <w:lang w:val="en-GB"/>
        </w:rPr>
        <w:t>egrees</w:t>
      </w:r>
      <w:r w:rsidR="001B7DDA" w:rsidRPr="002A5FAE">
        <w:rPr>
          <w:rFonts w:ascii="Tw Cen MT" w:hAnsi="Tw Cen MT"/>
          <w:sz w:val="24"/>
          <w:szCs w:val="24"/>
          <w:lang w:val="en-GB"/>
        </w:rPr>
        <w:t xml:space="preserve"> awarded by higher education institutions offering the joint programme attesting to the successful completion of the joint programme.</w:t>
      </w:r>
      <w:r w:rsidR="00EC1BB5" w:rsidRPr="002A5FAE">
        <w:rPr>
          <w:rFonts w:ascii="Tw Cen MT" w:hAnsi="Tw Cen MT"/>
          <w:sz w:val="24"/>
          <w:szCs w:val="24"/>
          <w:lang w:val="en-GB"/>
        </w:rPr>
        <w:t xml:space="preserve"> If two</w:t>
      </w:r>
      <w:r w:rsidR="004B0955">
        <w:rPr>
          <w:rFonts w:ascii="Tw Cen MT" w:hAnsi="Tw Cen MT"/>
          <w:sz w:val="24"/>
          <w:szCs w:val="24"/>
          <w:lang w:val="en-GB"/>
        </w:rPr>
        <w:t xml:space="preserve"> </w:t>
      </w:r>
      <w:r w:rsidR="00EC1BB5" w:rsidRPr="002A5FAE">
        <w:rPr>
          <w:rFonts w:ascii="Tw Cen MT" w:hAnsi="Tw Cen MT"/>
          <w:sz w:val="24"/>
          <w:szCs w:val="24"/>
          <w:lang w:val="en-GB"/>
        </w:rPr>
        <w:t>degrees are awarded by two institutions, this is a ‘double degree’.</w:t>
      </w:r>
      <w:r w:rsidR="006C52AA" w:rsidRPr="002A5FAE">
        <w:rPr>
          <w:rFonts w:ascii="Tw Cen MT" w:hAnsi="Tw Cen MT"/>
          <w:sz w:val="24"/>
          <w:szCs w:val="24"/>
          <w:lang w:val="en-GB"/>
        </w:rPr>
        <w:t>”</w:t>
      </w:r>
    </w:p>
    <w:p w14:paraId="3195ED89" w14:textId="77777777" w:rsidR="006335EE" w:rsidRPr="002A5FAE" w:rsidRDefault="006335EE" w:rsidP="006335EE">
      <w:pPr>
        <w:rPr>
          <w:rFonts w:ascii="Tw Cen MT" w:hAnsi="Tw Cen MT"/>
          <w:sz w:val="24"/>
          <w:szCs w:val="24"/>
          <w:lang w:val="en-GB"/>
        </w:rPr>
      </w:pPr>
    </w:p>
    <w:p w14:paraId="72F5B8D2" w14:textId="77777777" w:rsidR="00987BAC" w:rsidRPr="002A5FAE" w:rsidRDefault="00987BAC">
      <w:pPr>
        <w:rPr>
          <w:rFonts w:ascii="Tw Cen MT" w:hAnsi="Tw Cen MT"/>
          <w:b/>
          <w:bCs/>
          <w:sz w:val="24"/>
          <w:szCs w:val="24"/>
          <w:lang w:val="en-GB"/>
        </w:rPr>
      </w:pPr>
      <w:r w:rsidRPr="002A5FAE">
        <w:rPr>
          <w:rFonts w:ascii="Tw Cen MT" w:hAnsi="Tw Cen MT"/>
          <w:b/>
          <w:bCs/>
          <w:sz w:val="24"/>
          <w:szCs w:val="24"/>
          <w:lang w:val="en-GB"/>
        </w:rPr>
        <w:br w:type="page"/>
      </w:r>
    </w:p>
    <w:p w14:paraId="754626F8" w14:textId="3110ACB6" w:rsidR="006335EE" w:rsidRPr="002A5FAE" w:rsidRDefault="00987BAC" w:rsidP="00987BAC">
      <w:pPr>
        <w:rPr>
          <w:rFonts w:ascii="Tw Cen MT" w:hAnsi="Tw Cen MT" w:cstheme="minorHAnsi"/>
          <w:b/>
          <w:bCs/>
          <w:sz w:val="24"/>
          <w:szCs w:val="24"/>
        </w:rPr>
      </w:pPr>
      <w:r w:rsidRPr="002A5FAE">
        <w:rPr>
          <w:rFonts w:ascii="Tw Cen MT" w:hAnsi="Tw Cen MT" w:cstheme="minorHAnsi"/>
          <w:b/>
          <w:bCs/>
          <w:sz w:val="24"/>
          <w:szCs w:val="24"/>
        </w:rPr>
        <w:lastRenderedPageBreak/>
        <w:t xml:space="preserve">Annex II. </w:t>
      </w:r>
      <w:r w:rsidR="006335EE" w:rsidRPr="002A5FAE">
        <w:rPr>
          <w:rFonts w:ascii="Tw Cen MT" w:hAnsi="Tw Cen MT" w:cstheme="minorHAnsi"/>
          <w:sz w:val="24"/>
          <w:szCs w:val="24"/>
        </w:rPr>
        <w:t>Overview of minimum expected outputs</w:t>
      </w:r>
    </w:p>
    <w:p w14:paraId="64EEBE32" w14:textId="791F4406" w:rsidR="006335EE" w:rsidRPr="002A5FAE" w:rsidRDefault="00093907" w:rsidP="00C12D36">
      <w:pPr>
        <w:jc w:val="both"/>
        <w:rPr>
          <w:rFonts w:ascii="Tw Cen MT" w:hAnsi="Tw Cen MT"/>
          <w:b/>
          <w:bCs/>
          <w:sz w:val="24"/>
          <w:szCs w:val="24"/>
          <w:lang w:val="en-GB"/>
        </w:rPr>
      </w:pPr>
      <w:r w:rsidRPr="002A5FAE">
        <w:rPr>
          <w:rFonts w:ascii="Tw Cen MT" w:hAnsi="Tw Cen MT"/>
          <w:b/>
          <w:bCs/>
          <w:sz w:val="24"/>
          <w:szCs w:val="24"/>
          <w:lang w:val="en-GB"/>
        </w:rPr>
        <w:t>Jointly designed programme-level learning outcomes</w:t>
      </w:r>
    </w:p>
    <w:p w14:paraId="46D14803" w14:textId="6F4A5545" w:rsidR="00E22235" w:rsidRPr="002A5FAE" w:rsidRDefault="00B13C0E" w:rsidP="00C12D36">
      <w:pPr>
        <w:jc w:val="both"/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sz w:val="24"/>
          <w:szCs w:val="24"/>
          <w:lang w:val="en-GB"/>
        </w:rPr>
        <w:t xml:space="preserve">Learning outcomes indicate </w:t>
      </w:r>
      <w:r w:rsidR="007923B3" w:rsidRPr="002A5FAE">
        <w:rPr>
          <w:rFonts w:ascii="Tw Cen MT" w:hAnsi="Tw Cen MT"/>
          <w:sz w:val="24"/>
          <w:szCs w:val="24"/>
          <w:lang w:val="en-GB"/>
        </w:rPr>
        <w:t xml:space="preserve">which knowledge, skills and attitudes, or an integration of them in competences, a student should obtain throughout the programme. They are the minimum requirements for students graduating </w:t>
      </w:r>
      <w:r w:rsidR="0045651D" w:rsidRPr="002A5FAE">
        <w:rPr>
          <w:rFonts w:ascii="Tw Cen MT" w:hAnsi="Tw Cen MT"/>
          <w:sz w:val="24"/>
          <w:szCs w:val="24"/>
          <w:lang w:val="en-GB"/>
        </w:rPr>
        <w:t xml:space="preserve">in a specific study programme. </w:t>
      </w:r>
      <w:r w:rsidR="00B47118" w:rsidRPr="002A5FAE">
        <w:rPr>
          <w:rFonts w:ascii="Tw Cen MT" w:hAnsi="Tw Cen MT"/>
          <w:sz w:val="24"/>
          <w:szCs w:val="24"/>
          <w:lang w:val="en-GB"/>
        </w:rPr>
        <w:t xml:space="preserve">The learning outcomes </w:t>
      </w:r>
      <w:r w:rsidR="008553F8" w:rsidRPr="002A5FAE">
        <w:rPr>
          <w:rFonts w:ascii="Tw Cen MT" w:hAnsi="Tw Cen MT"/>
          <w:sz w:val="24"/>
          <w:szCs w:val="24"/>
          <w:lang w:val="en-GB"/>
        </w:rPr>
        <w:t xml:space="preserve">of the joint study programme </w:t>
      </w:r>
      <w:r w:rsidR="00B47118" w:rsidRPr="002A5FAE">
        <w:rPr>
          <w:rFonts w:ascii="Tw Cen MT" w:hAnsi="Tw Cen MT"/>
          <w:sz w:val="24"/>
          <w:szCs w:val="24"/>
          <w:lang w:val="en-GB"/>
        </w:rPr>
        <w:t>are jointly designed and jointly agreed upon by the</w:t>
      </w:r>
      <w:r w:rsidR="00103D84" w:rsidRPr="002A5FAE">
        <w:rPr>
          <w:rFonts w:ascii="Tw Cen MT" w:hAnsi="Tw Cen MT"/>
          <w:sz w:val="24"/>
          <w:szCs w:val="24"/>
          <w:lang w:val="en-GB"/>
        </w:rPr>
        <w:t xml:space="preserve"> participating institutions</w:t>
      </w:r>
      <w:r w:rsidR="00B47118" w:rsidRPr="002A5FAE">
        <w:rPr>
          <w:rFonts w:ascii="Tw Cen MT" w:hAnsi="Tw Cen MT"/>
          <w:sz w:val="24"/>
          <w:szCs w:val="24"/>
          <w:lang w:val="en-GB"/>
        </w:rPr>
        <w:t xml:space="preserve">. </w:t>
      </w:r>
    </w:p>
    <w:p w14:paraId="119CF81B" w14:textId="15D3BD34" w:rsidR="00093907" w:rsidRPr="002A5FAE" w:rsidRDefault="00093907" w:rsidP="00C12D36">
      <w:pPr>
        <w:jc w:val="both"/>
        <w:rPr>
          <w:rFonts w:ascii="Tw Cen MT" w:hAnsi="Tw Cen MT"/>
          <w:b/>
          <w:bCs/>
          <w:sz w:val="24"/>
          <w:szCs w:val="24"/>
          <w:lang w:val="en-GB"/>
        </w:rPr>
      </w:pPr>
      <w:r w:rsidRPr="002A5FAE">
        <w:rPr>
          <w:rFonts w:ascii="Tw Cen MT" w:hAnsi="Tw Cen MT"/>
          <w:b/>
          <w:bCs/>
          <w:sz w:val="24"/>
          <w:szCs w:val="24"/>
          <w:lang w:val="en-GB"/>
        </w:rPr>
        <w:t>Study programme and corresponding student mobility trajectories</w:t>
      </w:r>
    </w:p>
    <w:p w14:paraId="701B86BE" w14:textId="11B6264A" w:rsidR="005A3DC4" w:rsidRPr="002A5FAE" w:rsidRDefault="00BC46DA" w:rsidP="00C12D36">
      <w:pPr>
        <w:jc w:val="both"/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sz w:val="24"/>
          <w:szCs w:val="24"/>
          <w:lang w:val="en-GB"/>
        </w:rPr>
        <w:t>Develop the academic study programme / curriculum / course offer of the joint study programme</w:t>
      </w:r>
      <w:r w:rsidR="00594E47" w:rsidRPr="002A5FAE">
        <w:rPr>
          <w:rFonts w:ascii="Tw Cen MT" w:hAnsi="Tw Cen MT"/>
          <w:sz w:val="24"/>
          <w:szCs w:val="24"/>
          <w:lang w:val="en-GB"/>
        </w:rPr>
        <w:t xml:space="preserve">, </w:t>
      </w:r>
      <w:r w:rsidR="004957DF" w:rsidRPr="002A5FAE">
        <w:rPr>
          <w:rFonts w:ascii="Tw Cen MT" w:hAnsi="Tw Cen MT"/>
          <w:sz w:val="24"/>
          <w:szCs w:val="24"/>
          <w:lang w:val="en-GB"/>
        </w:rPr>
        <w:t>including th</w:t>
      </w:r>
      <w:r w:rsidR="000C6395" w:rsidRPr="002A5FAE">
        <w:rPr>
          <w:rFonts w:ascii="Tw Cen MT" w:hAnsi="Tw Cen MT"/>
          <w:sz w:val="24"/>
          <w:szCs w:val="24"/>
          <w:lang w:val="en-GB"/>
        </w:rPr>
        <w:t xml:space="preserve">e </w:t>
      </w:r>
      <w:r w:rsidR="00BB7D70" w:rsidRPr="002A5FAE">
        <w:rPr>
          <w:rFonts w:ascii="Tw Cen MT" w:hAnsi="Tw Cen MT"/>
          <w:sz w:val="24"/>
          <w:szCs w:val="24"/>
          <w:lang w:val="en-GB"/>
        </w:rPr>
        <w:t>(</w:t>
      </w:r>
      <w:r w:rsidR="000C6395" w:rsidRPr="002A5FAE">
        <w:rPr>
          <w:rFonts w:ascii="Tw Cen MT" w:hAnsi="Tw Cen MT"/>
          <w:sz w:val="24"/>
          <w:szCs w:val="24"/>
          <w:lang w:val="en-GB"/>
        </w:rPr>
        <w:t>physical</w:t>
      </w:r>
      <w:r w:rsidR="00BB7D70" w:rsidRPr="002A5FAE">
        <w:rPr>
          <w:rFonts w:ascii="Tw Cen MT" w:hAnsi="Tw Cen MT"/>
          <w:sz w:val="24"/>
          <w:szCs w:val="24"/>
          <w:lang w:val="en-GB"/>
        </w:rPr>
        <w:t xml:space="preserve"> and/or virtual</w:t>
      </w:r>
      <w:r w:rsidR="00C321FE" w:rsidRPr="002A5FAE">
        <w:rPr>
          <w:rFonts w:ascii="Tw Cen MT" w:hAnsi="Tw Cen MT"/>
          <w:sz w:val="24"/>
          <w:szCs w:val="24"/>
          <w:lang w:val="en-GB"/>
        </w:rPr>
        <w:t>)</w:t>
      </w:r>
      <w:r w:rsidR="00A6499F" w:rsidRPr="002A5FAE">
        <w:rPr>
          <w:rFonts w:ascii="Tw Cen MT" w:hAnsi="Tw Cen MT"/>
          <w:sz w:val="24"/>
          <w:szCs w:val="24"/>
          <w:lang w:val="en-GB"/>
        </w:rPr>
        <w:t xml:space="preserve"> </w:t>
      </w:r>
      <w:r w:rsidR="004957DF" w:rsidRPr="002A5FAE">
        <w:rPr>
          <w:rFonts w:ascii="Tw Cen MT" w:hAnsi="Tw Cen MT"/>
          <w:sz w:val="24"/>
          <w:szCs w:val="24"/>
          <w:lang w:val="en-GB"/>
        </w:rPr>
        <w:t xml:space="preserve">mobility </w:t>
      </w:r>
      <w:r w:rsidR="00A6499F" w:rsidRPr="002A5FAE">
        <w:rPr>
          <w:rFonts w:ascii="Tw Cen MT" w:hAnsi="Tw Cen MT"/>
          <w:sz w:val="24"/>
          <w:szCs w:val="24"/>
          <w:lang w:val="en-GB"/>
        </w:rPr>
        <w:t>trajectories</w:t>
      </w:r>
      <w:r w:rsidR="0088039C" w:rsidRPr="002A5FAE">
        <w:rPr>
          <w:rStyle w:val="FootnoteReference"/>
          <w:rFonts w:ascii="Tw Cen MT" w:hAnsi="Tw Cen MT"/>
          <w:sz w:val="24"/>
          <w:szCs w:val="24"/>
          <w:lang w:val="en-GB"/>
        </w:rPr>
        <w:footnoteReference w:id="4"/>
      </w:r>
      <w:r w:rsidR="00A6499F" w:rsidRPr="002A5FAE">
        <w:rPr>
          <w:rFonts w:ascii="Tw Cen MT" w:hAnsi="Tw Cen MT"/>
          <w:sz w:val="24"/>
          <w:szCs w:val="24"/>
          <w:lang w:val="en-GB"/>
        </w:rPr>
        <w:t xml:space="preserve">  for </w:t>
      </w:r>
      <w:r w:rsidR="005D31C2" w:rsidRPr="002A5FAE">
        <w:rPr>
          <w:rFonts w:ascii="Tw Cen MT" w:hAnsi="Tw Cen MT"/>
          <w:sz w:val="24"/>
          <w:szCs w:val="24"/>
          <w:lang w:val="en-GB"/>
        </w:rPr>
        <w:t xml:space="preserve">all enrolled </w:t>
      </w:r>
      <w:r w:rsidR="00A6499F" w:rsidRPr="002A5FAE">
        <w:rPr>
          <w:rFonts w:ascii="Tw Cen MT" w:hAnsi="Tw Cen MT"/>
          <w:sz w:val="24"/>
          <w:szCs w:val="24"/>
          <w:lang w:val="en-GB"/>
        </w:rPr>
        <w:t xml:space="preserve">students. </w:t>
      </w:r>
    </w:p>
    <w:p w14:paraId="73BFAF6F" w14:textId="49F28ACA" w:rsidR="00093907" w:rsidRPr="002A5FAE" w:rsidRDefault="00093907" w:rsidP="00C12D36">
      <w:pPr>
        <w:jc w:val="both"/>
        <w:rPr>
          <w:rFonts w:ascii="Tw Cen MT" w:hAnsi="Tw Cen MT"/>
          <w:b/>
          <w:bCs/>
          <w:sz w:val="24"/>
          <w:szCs w:val="24"/>
          <w:lang w:val="en-GB"/>
        </w:rPr>
      </w:pPr>
      <w:r w:rsidRPr="002A5FAE">
        <w:rPr>
          <w:rFonts w:ascii="Tw Cen MT" w:hAnsi="Tw Cen MT"/>
          <w:b/>
          <w:bCs/>
          <w:sz w:val="24"/>
          <w:szCs w:val="24"/>
          <w:lang w:val="en-GB"/>
        </w:rPr>
        <w:t>Joint admission requirements</w:t>
      </w:r>
    </w:p>
    <w:p w14:paraId="77AB01E2" w14:textId="13E79FDB" w:rsidR="007E036D" w:rsidRPr="002A5FAE" w:rsidRDefault="00AA19AD" w:rsidP="00C12D36">
      <w:pPr>
        <w:jc w:val="both"/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sz w:val="24"/>
          <w:szCs w:val="24"/>
          <w:lang w:val="en-GB"/>
        </w:rPr>
        <w:t>Develop the</w:t>
      </w:r>
      <w:r w:rsidR="00001330" w:rsidRPr="002A5FAE">
        <w:rPr>
          <w:rFonts w:ascii="Tw Cen MT" w:hAnsi="Tw Cen MT"/>
          <w:sz w:val="24"/>
          <w:szCs w:val="24"/>
          <w:lang w:val="en-GB"/>
        </w:rPr>
        <w:t xml:space="preserve"> principles and requirements for </w:t>
      </w:r>
      <w:r w:rsidR="001F3149" w:rsidRPr="002A5FAE">
        <w:rPr>
          <w:rFonts w:ascii="Tw Cen MT" w:hAnsi="Tw Cen MT"/>
          <w:sz w:val="24"/>
          <w:szCs w:val="24"/>
          <w:lang w:val="en-GB"/>
        </w:rPr>
        <w:t>candidate-</w:t>
      </w:r>
      <w:r w:rsidR="00001330" w:rsidRPr="002A5FAE">
        <w:rPr>
          <w:rFonts w:ascii="Tw Cen MT" w:hAnsi="Tw Cen MT"/>
          <w:sz w:val="24"/>
          <w:szCs w:val="24"/>
          <w:lang w:val="en-GB"/>
        </w:rPr>
        <w:t xml:space="preserve">students to apply for, be selected to and participate in the joint study programme. </w:t>
      </w:r>
      <w:r w:rsidR="00B5229C" w:rsidRPr="002A5FAE">
        <w:rPr>
          <w:rFonts w:ascii="Tw Cen MT" w:hAnsi="Tw Cen MT"/>
          <w:sz w:val="24"/>
          <w:szCs w:val="24"/>
          <w:lang w:val="en-GB"/>
        </w:rPr>
        <w:t>Include academic requirements</w:t>
      </w:r>
      <w:r w:rsidR="00964F8B" w:rsidRPr="002A5FAE">
        <w:rPr>
          <w:rFonts w:ascii="Tw Cen MT" w:hAnsi="Tw Cen MT"/>
          <w:sz w:val="24"/>
          <w:szCs w:val="24"/>
          <w:lang w:val="en-GB"/>
        </w:rPr>
        <w:t>, language requirements and – if</w:t>
      </w:r>
      <w:r w:rsidR="002C49DA" w:rsidRPr="002A5FAE">
        <w:rPr>
          <w:rFonts w:ascii="Tw Cen MT" w:hAnsi="Tw Cen MT"/>
          <w:sz w:val="24"/>
          <w:szCs w:val="24"/>
          <w:lang w:val="en-GB"/>
        </w:rPr>
        <w:t xml:space="preserve"> applicable</w:t>
      </w:r>
      <w:r w:rsidR="00964F8B" w:rsidRPr="002A5FAE">
        <w:rPr>
          <w:rFonts w:ascii="Tw Cen MT" w:hAnsi="Tw Cen MT"/>
          <w:sz w:val="24"/>
          <w:szCs w:val="24"/>
          <w:lang w:val="en-GB"/>
        </w:rPr>
        <w:t xml:space="preserve"> –</w:t>
      </w:r>
      <w:r w:rsidR="002C49DA" w:rsidRPr="002A5FAE">
        <w:rPr>
          <w:rFonts w:ascii="Tw Cen MT" w:hAnsi="Tw Cen MT"/>
          <w:sz w:val="24"/>
          <w:szCs w:val="24"/>
          <w:lang w:val="en-GB"/>
        </w:rPr>
        <w:t xml:space="preserve"> additional/</w:t>
      </w:r>
      <w:r w:rsidR="00964F8B" w:rsidRPr="002A5FAE">
        <w:rPr>
          <w:rFonts w:ascii="Tw Cen MT" w:hAnsi="Tw Cen MT"/>
          <w:sz w:val="24"/>
          <w:szCs w:val="24"/>
          <w:lang w:val="en-GB"/>
        </w:rPr>
        <w:t>document requirements.</w:t>
      </w:r>
    </w:p>
    <w:p w14:paraId="48670EC0" w14:textId="50042BFB" w:rsidR="00093907" w:rsidRPr="002A5FAE" w:rsidRDefault="00FD6504" w:rsidP="00C12D36">
      <w:pPr>
        <w:jc w:val="both"/>
        <w:rPr>
          <w:rFonts w:ascii="Tw Cen MT" w:hAnsi="Tw Cen MT"/>
          <w:b/>
          <w:bCs/>
          <w:sz w:val="24"/>
          <w:szCs w:val="24"/>
          <w:lang w:val="en-GB"/>
        </w:rPr>
      </w:pPr>
      <w:r w:rsidRPr="002A5FAE">
        <w:rPr>
          <w:rFonts w:ascii="Tw Cen MT" w:hAnsi="Tw Cen MT"/>
          <w:b/>
          <w:bCs/>
          <w:sz w:val="24"/>
          <w:szCs w:val="24"/>
          <w:lang w:val="en-GB"/>
        </w:rPr>
        <w:t xml:space="preserve">(Progress on) a draft </w:t>
      </w:r>
      <w:r w:rsidR="001A7704" w:rsidRPr="002A5FAE">
        <w:rPr>
          <w:rFonts w:ascii="Tw Cen MT" w:hAnsi="Tw Cen MT"/>
          <w:b/>
          <w:bCs/>
          <w:sz w:val="24"/>
          <w:szCs w:val="24"/>
          <w:lang w:val="en-GB"/>
        </w:rPr>
        <w:t>partnership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 xml:space="preserve"> agreement</w:t>
      </w:r>
    </w:p>
    <w:p w14:paraId="5DC5A263" w14:textId="37EC4629" w:rsidR="00AE6FDA" w:rsidRPr="002A5FAE" w:rsidRDefault="00AE6FDA" w:rsidP="00C12D36">
      <w:pPr>
        <w:jc w:val="both"/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sz w:val="24"/>
          <w:szCs w:val="24"/>
          <w:lang w:val="en-GB"/>
        </w:rPr>
        <w:t xml:space="preserve">Institutional commitment </w:t>
      </w:r>
      <w:r w:rsidR="001E3914" w:rsidRPr="002A5FAE">
        <w:rPr>
          <w:rFonts w:ascii="Tw Cen MT" w:hAnsi="Tw Cen MT"/>
          <w:sz w:val="24"/>
          <w:szCs w:val="24"/>
          <w:lang w:val="en-GB"/>
        </w:rPr>
        <w:t xml:space="preserve">of all participating institutions takes the form of a </w:t>
      </w:r>
      <w:r w:rsidR="000A4A3E" w:rsidRPr="002A5FAE">
        <w:rPr>
          <w:rFonts w:ascii="Tw Cen MT" w:hAnsi="Tw Cen MT"/>
          <w:sz w:val="24"/>
          <w:szCs w:val="24"/>
          <w:lang w:val="en-GB"/>
        </w:rPr>
        <w:t>partnership</w:t>
      </w:r>
      <w:r w:rsidR="00CF36DE" w:rsidRPr="002A5FAE">
        <w:rPr>
          <w:rFonts w:ascii="Tw Cen MT" w:hAnsi="Tw Cen MT"/>
          <w:sz w:val="24"/>
          <w:szCs w:val="24"/>
          <w:lang w:val="en-GB"/>
        </w:rPr>
        <w:t xml:space="preserve"> agreement, which must be signed by all partner institutions upon implementation of the joint </w:t>
      </w:r>
      <w:r w:rsidR="00053C08" w:rsidRPr="002A5FAE">
        <w:rPr>
          <w:rFonts w:ascii="Tw Cen MT" w:hAnsi="Tw Cen MT"/>
          <w:sz w:val="24"/>
          <w:szCs w:val="24"/>
          <w:lang w:val="en-GB"/>
        </w:rPr>
        <w:t xml:space="preserve">study </w:t>
      </w:r>
      <w:r w:rsidR="00CF36DE" w:rsidRPr="002A5FAE">
        <w:rPr>
          <w:rFonts w:ascii="Tw Cen MT" w:hAnsi="Tw Cen MT"/>
          <w:sz w:val="24"/>
          <w:szCs w:val="24"/>
          <w:lang w:val="en-GB"/>
        </w:rPr>
        <w:t xml:space="preserve">programme. </w:t>
      </w:r>
      <w:r w:rsidR="00394257" w:rsidRPr="002A5FAE">
        <w:rPr>
          <w:rFonts w:ascii="Tw Cen MT" w:hAnsi="Tw Cen MT"/>
          <w:sz w:val="24"/>
          <w:szCs w:val="24"/>
          <w:lang w:val="en-GB"/>
        </w:rPr>
        <w:t xml:space="preserve">The </w:t>
      </w:r>
      <w:r w:rsidR="001A7704" w:rsidRPr="002A5FAE">
        <w:rPr>
          <w:rFonts w:ascii="Tw Cen MT" w:hAnsi="Tw Cen MT"/>
          <w:sz w:val="24"/>
          <w:szCs w:val="24"/>
          <w:lang w:val="en-GB"/>
        </w:rPr>
        <w:t xml:space="preserve">partnership </w:t>
      </w:r>
      <w:r w:rsidR="00394257" w:rsidRPr="002A5FAE">
        <w:rPr>
          <w:rFonts w:ascii="Tw Cen MT" w:hAnsi="Tw Cen MT"/>
          <w:sz w:val="24"/>
          <w:szCs w:val="24"/>
          <w:lang w:val="en-GB"/>
        </w:rPr>
        <w:t xml:space="preserve">agreement covers all academic, operational, administrative and financial aspects related to the implementation of the joint </w:t>
      </w:r>
      <w:r w:rsidR="00053C08" w:rsidRPr="002A5FAE">
        <w:rPr>
          <w:rFonts w:ascii="Tw Cen MT" w:hAnsi="Tw Cen MT"/>
          <w:sz w:val="24"/>
          <w:szCs w:val="24"/>
          <w:lang w:val="en-GB"/>
        </w:rPr>
        <w:t xml:space="preserve">study </w:t>
      </w:r>
      <w:r w:rsidR="00394257" w:rsidRPr="002A5FAE">
        <w:rPr>
          <w:rFonts w:ascii="Tw Cen MT" w:hAnsi="Tw Cen MT"/>
          <w:sz w:val="24"/>
          <w:szCs w:val="24"/>
          <w:lang w:val="en-GB"/>
        </w:rPr>
        <w:t xml:space="preserve">programme. </w:t>
      </w:r>
    </w:p>
    <w:p w14:paraId="0E1A83B6" w14:textId="77777777" w:rsidR="00987BAC" w:rsidRPr="002A5FAE" w:rsidRDefault="00987BAC" w:rsidP="00987BAC">
      <w:pPr>
        <w:rPr>
          <w:rFonts w:ascii="Tw Cen MT" w:hAnsi="Tw Cen MT"/>
          <w:b/>
          <w:bCs/>
          <w:sz w:val="24"/>
          <w:szCs w:val="24"/>
          <w:lang w:val="en-GB"/>
        </w:rPr>
      </w:pPr>
    </w:p>
    <w:p w14:paraId="48F63699" w14:textId="77777777" w:rsidR="00987BAC" w:rsidRPr="002A5FAE" w:rsidRDefault="00987BAC" w:rsidP="00987BAC">
      <w:pPr>
        <w:rPr>
          <w:rFonts w:ascii="Tw Cen MT" w:hAnsi="Tw Cen MT"/>
          <w:b/>
          <w:bCs/>
          <w:sz w:val="24"/>
          <w:szCs w:val="24"/>
          <w:lang w:val="en-GB"/>
        </w:rPr>
      </w:pPr>
    </w:p>
    <w:p w14:paraId="21FC9914" w14:textId="77777777" w:rsidR="00987BAC" w:rsidRPr="002A5FAE" w:rsidRDefault="00987BAC" w:rsidP="00987BAC">
      <w:pPr>
        <w:rPr>
          <w:rFonts w:ascii="Tw Cen MT" w:hAnsi="Tw Cen MT"/>
          <w:b/>
          <w:bCs/>
          <w:sz w:val="24"/>
          <w:szCs w:val="24"/>
          <w:lang w:val="en-GB"/>
        </w:rPr>
      </w:pPr>
    </w:p>
    <w:p w14:paraId="19A8BDA5" w14:textId="77777777" w:rsidR="00987BAC" w:rsidRPr="002A5FAE" w:rsidRDefault="00987BAC">
      <w:pPr>
        <w:rPr>
          <w:rFonts w:ascii="Tw Cen MT" w:hAnsi="Tw Cen MT"/>
          <w:b/>
          <w:bCs/>
          <w:sz w:val="24"/>
          <w:szCs w:val="24"/>
          <w:lang w:val="en-GB"/>
        </w:rPr>
      </w:pPr>
      <w:r w:rsidRPr="002A5FAE">
        <w:rPr>
          <w:rFonts w:ascii="Tw Cen MT" w:hAnsi="Tw Cen MT"/>
          <w:b/>
          <w:bCs/>
          <w:sz w:val="24"/>
          <w:szCs w:val="24"/>
          <w:lang w:val="en-GB"/>
        </w:rPr>
        <w:br w:type="page"/>
      </w:r>
    </w:p>
    <w:p w14:paraId="137C4293" w14:textId="5318D74F" w:rsidR="00FD686C" w:rsidRPr="002A5FAE" w:rsidRDefault="00987BAC" w:rsidP="00987BAC">
      <w:pPr>
        <w:rPr>
          <w:rFonts w:ascii="Tw Cen MT" w:hAnsi="Tw Cen MT"/>
          <w:b/>
          <w:bCs/>
          <w:sz w:val="24"/>
          <w:szCs w:val="24"/>
          <w:lang w:val="en-GB"/>
        </w:rPr>
      </w:pPr>
      <w:r w:rsidRPr="002A5FAE">
        <w:rPr>
          <w:rFonts w:ascii="Tw Cen MT" w:hAnsi="Tw Cen MT" w:cstheme="minorHAnsi"/>
          <w:b/>
          <w:bCs/>
          <w:sz w:val="24"/>
          <w:szCs w:val="24"/>
        </w:rPr>
        <w:lastRenderedPageBreak/>
        <w:t xml:space="preserve">Annex III. </w:t>
      </w:r>
      <w:r w:rsidR="00D7233A" w:rsidRPr="002A5FAE">
        <w:rPr>
          <w:rFonts w:ascii="Tw Cen MT" w:hAnsi="Tw Cen MT" w:cstheme="minorHAnsi"/>
          <w:sz w:val="24"/>
          <w:szCs w:val="24"/>
        </w:rPr>
        <w:t>Principles to align the</w:t>
      </w:r>
      <w:r w:rsidR="00FD686C" w:rsidRPr="002A5FAE">
        <w:rPr>
          <w:rFonts w:ascii="Tw Cen MT" w:hAnsi="Tw Cen MT" w:cstheme="minorHAnsi"/>
          <w:sz w:val="24"/>
          <w:szCs w:val="24"/>
        </w:rPr>
        <w:t xml:space="preserve"> envisaged</w:t>
      </w:r>
      <w:r w:rsidR="00D7233A" w:rsidRPr="002A5FAE">
        <w:rPr>
          <w:rFonts w:ascii="Tw Cen MT" w:hAnsi="Tw Cen MT" w:cstheme="minorHAnsi"/>
          <w:sz w:val="24"/>
          <w:szCs w:val="24"/>
        </w:rPr>
        <w:t xml:space="preserve"> ENLIGHT joint study programme</w:t>
      </w:r>
      <w:r w:rsidR="00EF7434" w:rsidRPr="002A5FAE">
        <w:rPr>
          <w:rFonts w:ascii="Tw Cen MT" w:hAnsi="Tw Cen MT" w:cstheme="minorHAnsi"/>
          <w:sz w:val="24"/>
          <w:szCs w:val="24"/>
        </w:rPr>
        <w:t xml:space="preserve"> with</w:t>
      </w:r>
      <w:r w:rsidR="00FD686C" w:rsidRPr="002A5FAE">
        <w:rPr>
          <w:rFonts w:ascii="Tw Cen MT" w:hAnsi="Tw Cen MT" w:cstheme="minorHAnsi"/>
          <w:sz w:val="24"/>
          <w:szCs w:val="24"/>
        </w:rPr>
        <w:t xml:space="preserve"> (upon</w:t>
      </w:r>
      <w:r w:rsidR="00FD686C" w:rsidRPr="002A5FAE">
        <w:rPr>
          <w:rFonts w:ascii="Tw Cen MT" w:hAnsi="Tw Cen MT"/>
          <w:sz w:val="24"/>
          <w:szCs w:val="24"/>
          <w:lang w:val="en-GB"/>
        </w:rPr>
        <w:t xml:space="preserve"> </w:t>
      </w:r>
      <w:r w:rsidR="00FD686C" w:rsidRPr="002A5FAE">
        <w:rPr>
          <w:rFonts w:ascii="Tw Cen MT" w:hAnsi="Tw Cen MT" w:cstheme="minorHAnsi"/>
          <w:sz w:val="24"/>
          <w:szCs w:val="24"/>
        </w:rPr>
        <w:t>further development)</w:t>
      </w:r>
      <w:r w:rsidR="00EF7434" w:rsidRPr="002A5FAE">
        <w:rPr>
          <w:rFonts w:ascii="Tw Cen MT" w:hAnsi="Tw Cen MT" w:cstheme="minorHAnsi"/>
          <w:sz w:val="24"/>
          <w:szCs w:val="24"/>
        </w:rPr>
        <w:t>.</w:t>
      </w:r>
      <w:r w:rsidR="00FD686C" w:rsidRPr="002A5FAE">
        <w:rPr>
          <w:rStyle w:val="FootnoteReference"/>
          <w:rFonts w:ascii="Tw Cen MT" w:hAnsi="Tw Cen MT"/>
          <w:sz w:val="24"/>
          <w:szCs w:val="24"/>
          <w:lang w:val="en-GB"/>
        </w:rPr>
        <w:footnoteReference w:id="5"/>
      </w:r>
      <w:r w:rsidR="00EF7434" w:rsidRPr="002A5FAE">
        <w:rPr>
          <w:rFonts w:ascii="Tw Cen MT" w:hAnsi="Tw Cen MT"/>
          <w:b/>
          <w:bCs/>
          <w:sz w:val="24"/>
          <w:szCs w:val="24"/>
          <w:lang w:val="en-GB"/>
        </w:rPr>
        <w:br/>
      </w:r>
    </w:p>
    <w:p w14:paraId="2751A8AD" w14:textId="23B36EB5" w:rsidR="00736489" w:rsidRPr="002A5FAE" w:rsidRDefault="00FD686C" w:rsidP="00C12D36">
      <w:pPr>
        <w:pStyle w:val="ListParagraph"/>
        <w:numPr>
          <w:ilvl w:val="0"/>
          <w:numId w:val="10"/>
        </w:numPr>
        <w:ind w:left="360"/>
        <w:jc w:val="both"/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sz w:val="24"/>
          <w:szCs w:val="24"/>
          <w:lang w:val="en-GB"/>
        </w:rPr>
        <w:t xml:space="preserve">ENLIGHT joint study programmes 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>align with the strategic and academic priorities of the ENLIGHT alliance</w:t>
      </w:r>
      <w:r w:rsidRPr="002A5FAE">
        <w:rPr>
          <w:rFonts w:ascii="Tw Cen MT" w:hAnsi="Tw Cen MT"/>
          <w:sz w:val="24"/>
          <w:szCs w:val="24"/>
          <w:lang w:val="en-GB"/>
        </w:rPr>
        <w:t xml:space="preserve">. </w:t>
      </w:r>
      <w:r w:rsidR="00F071A4" w:rsidRPr="002A5FAE">
        <w:rPr>
          <w:rFonts w:ascii="Tw Cen MT" w:hAnsi="Tw Cen MT"/>
          <w:sz w:val="24"/>
          <w:szCs w:val="24"/>
          <w:lang w:val="en-GB"/>
        </w:rPr>
        <w:t>[…]</w:t>
      </w:r>
      <w:r w:rsidR="00F071A4" w:rsidRPr="002A5FAE">
        <w:rPr>
          <w:rFonts w:ascii="Tw Cen MT" w:hAnsi="Tw Cen MT"/>
          <w:sz w:val="24"/>
          <w:szCs w:val="24"/>
          <w:lang w:val="en-GB"/>
        </w:rPr>
        <w:tab/>
      </w:r>
      <w:r w:rsidR="00E04DF9" w:rsidRPr="002A5FAE">
        <w:rPr>
          <w:rFonts w:ascii="Tw Cen MT" w:hAnsi="Tw Cen MT"/>
          <w:sz w:val="24"/>
          <w:szCs w:val="24"/>
        </w:rPr>
        <w:br/>
      </w:r>
    </w:p>
    <w:p w14:paraId="7E1F978F" w14:textId="33AD6764" w:rsidR="00FD686C" w:rsidRPr="002A5FAE" w:rsidRDefault="00FD686C" w:rsidP="00C12D36">
      <w:pPr>
        <w:pStyle w:val="ListParagraph"/>
        <w:numPr>
          <w:ilvl w:val="0"/>
          <w:numId w:val="10"/>
        </w:numPr>
        <w:ind w:left="360"/>
        <w:jc w:val="both"/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sz w:val="24"/>
          <w:szCs w:val="24"/>
          <w:lang w:val="en-GB"/>
        </w:rPr>
        <w:t xml:space="preserve">ENLIGHT joint study programmes 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>draw upon excellence and competence</w:t>
      </w:r>
      <w:r w:rsidRPr="002A5FAE">
        <w:rPr>
          <w:rFonts w:ascii="Tw Cen MT" w:hAnsi="Tw Cen MT"/>
          <w:sz w:val="24"/>
          <w:szCs w:val="24"/>
          <w:lang w:val="en-GB"/>
        </w:rPr>
        <w:t xml:space="preserve"> in the relevant academic fields across the ENLIGHT university alliance, building upon 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>synergies and complementarities</w:t>
      </w:r>
      <w:r w:rsidRPr="002A5FAE">
        <w:rPr>
          <w:rFonts w:ascii="Tw Cen MT" w:hAnsi="Tw Cen MT"/>
          <w:sz w:val="24"/>
          <w:szCs w:val="24"/>
          <w:lang w:val="en-GB"/>
        </w:rPr>
        <w:t xml:space="preserve">. </w:t>
      </w:r>
      <w:r w:rsidR="00E04DF9" w:rsidRPr="002A5FAE">
        <w:rPr>
          <w:rFonts w:ascii="Tw Cen MT" w:hAnsi="Tw Cen MT"/>
          <w:sz w:val="24"/>
          <w:szCs w:val="24"/>
          <w:lang w:val="en-GB"/>
        </w:rPr>
        <w:br/>
      </w:r>
    </w:p>
    <w:p w14:paraId="054A1E16" w14:textId="50BE8DDD" w:rsidR="00FD686C" w:rsidRPr="002A5FAE" w:rsidRDefault="00FD686C" w:rsidP="00C12D36">
      <w:pPr>
        <w:pStyle w:val="ListParagraph"/>
        <w:numPr>
          <w:ilvl w:val="0"/>
          <w:numId w:val="10"/>
        </w:numPr>
        <w:ind w:left="360"/>
        <w:jc w:val="both"/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sz w:val="24"/>
          <w:szCs w:val="24"/>
          <w:lang w:val="en-GB"/>
        </w:rPr>
        <w:t xml:space="preserve">ENLIGHT joint study programmes are 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>relevant to society and working life</w:t>
      </w:r>
      <w:r w:rsidRPr="002A5FAE">
        <w:rPr>
          <w:rFonts w:ascii="Tw Cen MT" w:hAnsi="Tw Cen MT"/>
          <w:sz w:val="24"/>
          <w:szCs w:val="24"/>
          <w:lang w:val="en-GB"/>
        </w:rPr>
        <w:t xml:space="preserve">, and should engage with the 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>complex societal challenges of the 21</w:t>
      </w:r>
      <w:r w:rsidRPr="002A5FAE">
        <w:rPr>
          <w:rFonts w:ascii="Tw Cen MT" w:hAnsi="Tw Cen MT"/>
          <w:b/>
          <w:bCs/>
          <w:sz w:val="24"/>
          <w:szCs w:val="24"/>
          <w:vertAlign w:val="superscript"/>
          <w:lang w:val="en-GB"/>
        </w:rPr>
        <w:t>st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 xml:space="preserve"> century</w:t>
      </w:r>
      <w:r w:rsidRPr="002A5FAE">
        <w:rPr>
          <w:rFonts w:ascii="Tw Cen MT" w:hAnsi="Tw Cen MT"/>
          <w:sz w:val="24"/>
          <w:szCs w:val="24"/>
          <w:lang w:val="en-GB"/>
        </w:rPr>
        <w:t xml:space="preserve">. They strengthen 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>research-based teaching, collaboration on research</w:t>
      </w:r>
      <w:r w:rsidRPr="002A5FAE">
        <w:rPr>
          <w:rFonts w:ascii="Tw Cen MT" w:hAnsi="Tw Cen MT"/>
          <w:sz w:val="24"/>
          <w:szCs w:val="24"/>
          <w:lang w:val="en-GB"/>
        </w:rPr>
        <w:t xml:space="preserve"> and development projects, while seeding 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>interdisciplinarity</w:t>
      </w:r>
      <w:r w:rsidRPr="002A5FAE">
        <w:rPr>
          <w:rFonts w:ascii="Tw Cen MT" w:hAnsi="Tw Cen MT"/>
          <w:sz w:val="24"/>
          <w:szCs w:val="24"/>
          <w:lang w:val="en-GB"/>
        </w:rPr>
        <w:t>.</w:t>
      </w:r>
      <w:r w:rsidR="00F071A4" w:rsidRPr="002A5FAE">
        <w:rPr>
          <w:rFonts w:ascii="Tw Cen MT" w:hAnsi="Tw Cen MT"/>
          <w:sz w:val="24"/>
          <w:szCs w:val="24"/>
          <w:lang w:val="en-GB"/>
        </w:rPr>
        <w:t xml:space="preserve"> […] </w:t>
      </w:r>
      <w:r w:rsidRPr="002A5FAE">
        <w:rPr>
          <w:rFonts w:ascii="Tw Cen MT" w:hAnsi="Tw Cen MT"/>
          <w:sz w:val="24"/>
          <w:szCs w:val="24"/>
          <w:lang w:val="en-GB"/>
        </w:rPr>
        <w:t xml:space="preserve">The educational purpose should 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>link with ENLIGHT focuses</w:t>
      </w:r>
      <w:r w:rsidRPr="002A5FAE">
        <w:rPr>
          <w:rFonts w:ascii="Tw Cen MT" w:hAnsi="Tw Cen MT"/>
          <w:sz w:val="24"/>
          <w:szCs w:val="24"/>
          <w:lang w:val="en-GB"/>
        </w:rPr>
        <w:t>, such as key determinants of societal transitions, well-being, sustainable cities and communities.</w:t>
      </w:r>
      <w:r w:rsidR="00C12D36" w:rsidRPr="002A5FAE">
        <w:rPr>
          <w:rFonts w:ascii="Tw Cen MT" w:hAnsi="Tw Cen MT"/>
          <w:sz w:val="24"/>
          <w:szCs w:val="24"/>
        </w:rPr>
        <w:tab/>
      </w:r>
      <w:r w:rsidRPr="002A5FAE">
        <w:rPr>
          <w:rFonts w:ascii="Tw Cen MT" w:hAnsi="Tw Cen MT"/>
          <w:sz w:val="24"/>
          <w:szCs w:val="24"/>
          <w:lang w:val="en-GB"/>
        </w:rPr>
        <w:t xml:space="preserve"> </w:t>
      </w:r>
      <w:r w:rsidR="00E04DF9" w:rsidRPr="002A5FAE">
        <w:rPr>
          <w:rFonts w:ascii="Tw Cen MT" w:hAnsi="Tw Cen MT"/>
          <w:sz w:val="24"/>
          <w:szCs w:val="24"/>
        </w:rPr>
        <w:br/>
      </w:r>
    </w:p>
    <w:p w14:paraId="2E230117" w14:textId="7B5E4F54" w:rsidR="00FD686C" w:rsidRPr="002A5FAE" w:rsidRDefault="00FD686C" w:rsidP="00C12D36">
      <w:pPr>
        <w:pStyle w:val="ListParagraph"/>
        <w:numPr>
          <w:ilvl w:val="0"/>
          <w:numId w:val="10"/>
        </w:numPr>
        <w:ind w:left="360"/>
        <w:jc w:val="both"/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sz w:val="24"/>
          <w:szCs w:val="24"/>
          <w:lang w:val="en-GB"/>
        </w:rPr>
        <w:t xml:space="preserve">ENLIGHT joint study programmes 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>enable transfer and sharing across all universities</w:t>
      </w:r>
      <w:r w:rsidRPr="002A5FAE">
        <w:rPr>
          <w:rFonts w:ascii="Tw Cen MT" w:hAnsi="Tw Cen MT"/>
          <w:sz w:val="24"/>
          <w:szCs w:val="24"/>
          <w:lang w:val="en-GB"/>
        </w:rPr>
        <w:t xml:space="preserve"> of ENLIGHT, bringing together the best 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>learning modalities and innovative approaches</w:t>
      </w:r>
      <w:r w:rsidRPr="002A5FAE">
        <w:rPr>
          <w:rFonts w:ascii="Tw Cen MT" w:hAnsi="Tw Cen MT"/>
          <w:sz w:val="24"/>
          <w:szCs w:val="24"/>
          <w:lang w:val="en-GB"/>
        </w:rPr>
        <w:t xml:space="preserve"> across the ENLIGHT partners. They stimulate increased transparency between the ENLIGHT academic communities and increase competence through reciprocal learning outcomes. </w:t>
      </w:r>
      <w:r w:rsidR="00C12D36" w:rsidRPr="002A5FAE">
        <w:rPr>
          <w:rFonts w:ascii="Tw Cen MT" w:hAnsi="Tw Cen MT"/>
          <w:sz w:val="24"/>
          <w:szCs w:val="24"/>
          <w:lang w:val="en-GB"/>
        </w:rPr>
        <w:tab/>
      </w:r>
      <w:r w:rsidR="00E04DF9" w:rsidRPr="002A5FAE">
        <w:rPr>
          <w:rFonts w:ascii="Tw Cen MT" w:hAnsi="Tw Cen MT"/>
          <w:sz w:val="24"/>
          <w:szCs w:val="24"/>
          <w:lang w:val="en-GB"/>
        </w:rPr>
        <w:br/>
      </w:r>
    </w:p>
    <w:p w14:paraId="1B954B31" w14:textId="1BC6D9C0" w:rsidR="00FD686C" w:rsidRPr="002A5FAE" w:rsidRDefault="00FD686C" w:rsidP="00C12D36">
      <w:pPr>
        <w:pStyle w:val="ListParagraph"/>
        <w:numPr>
          <w:ilvl w:val="0"/>
          <w:numId w:val="10"/>
        </w:numPr>
        <w:ind w:left="360"/>
        <w:jc w:val="both"/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sz w:val="24"/>
          <w:szCs w:val="24"/>
          <w:lang w:val="en-GB"/>
        </w:rPr>
        <w:t xml:space="preserve">ENLIGHT joint study programmes stimulate increased 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>student and staff mobility</w:t>
      </w:r>
      <w:r w:rsidRPr="002A5FAE">
        <w:rPr>
          <w:rFonts w:ascii="Tw Cen MT" w:hAnsi="Tw Cen MT"/>
          <w:sz w:val="24"/>
          <w:szCs w:val="24"/>
          <w:lang w:val="en-GB"/>
        </w:rPr>
        <w:t xml:space="preserve"> including 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>teacher mobility</w:t>
      </w:r>
      <w:r w:rsidRPr="002A5FAE">
        <w:rPr>
          <w:rFonts w:ascii="Tw Cen MT" w:hAnsi="Tw Cen MT"/>
          <w:sz w:val="24"/>
          <w:szCs w:val="24"/>
          <w:lang w:val="en-GB"/>
        </w:rPr>
        <w:t xml:space="preserve"> across the entire ENLIGHT network as well as 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>attract European and international students</w:t>
      </w:r>
      <w:r w:rsidRPr="002A5FAE">
        <w:rPr>
          <w:rFonts w:ascii="Tw Cen MT" w:hAnsi="Tw Cen MT"/>
          <w:sz w:val="24"/>
          <w:szCs w:val="24"/>
          <w:lang w:val="en-GB"/>
        </w:rPr>
        <w:t xml:space="preserve"> to ENLIGHT universities.</w:t>
      </w:r>
    </w:p>
    <w:p w14:paraId="7E6B278D" w14:textId="77777777" w:rsidR="004A204D" w:rsidRPr="002A5FAE" w:rsidRDefault="004A204D" w:rsidP="00C12D36">
      <w:pPr>
        <w:jc w:val="both"/>
        <w:rPr>
          <w:rFonts w:ascii="Tw Cen MT" w:hAnsi="Tw Cen MT"/>
          <w:sz w:val="24"/>
          <w:szCs w:val="24"/>
          <w:lang w:val="en-GB"/>
        </w:rPr>
      </w:pPr>
    </w:p>
    <w:p w14:paraId="24B7B45A" w14:textId="368EB0A5" w:rsidR="00987BAC" w:rsidRPr="002A5FAE" w:rsidRDefault="00987BAC">
      <w:pPr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sz w:val="24"/>
          <w:szCs w:val="24"/>
          <w:lang w:val="en-GB"/>
        </w:rPr>
        <w:br w:type="page"/>
      </w:r>
    </w:p>
    <w:p w14:paraId="172FE1CB" w14:textId="39553792" w:rsidR="006335EE" w:rsidRPr="002A5FAE" w:rsidRDefault="00987BAC" w:rsidP="00987BAC">
      <w:pPr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b/>
          <w:bCs/>
          <w:sz w:val="24"/>
          <w:szCs w:val="24"/>
          <w:lang w:val="en-GB"/>
        </w:rPr>
        <w:lastRenderedPageBreak/>
        <w:t>Annex IV.</w:t>
      </w:r>
      <w:r w:rsidRPr="002A5FAE">
        <w:rPr>
          <w:rFonts w:ascii="Tw Cen MT" w:hAnsi="Tw Cen MT"/>
          <w:sz w:val="24"/>
          <w:szCs w:val="24"/>
          <w:lang w:val="en-GB"/>
        </w:rPr>
        <w:t xml:space="preserve"> </w:t>
      </w:r>
      <w:r w:rsidR="006335EE" w:rsidRPr="002A5FAE">
        <w:rPr>
          <w:rFonts w:ascii="Tw Cen MT" w:hAnsi="Tw Cen MT"/>
          <w:sz w:val="24"/>
          <w:szCs w:val="24"/>
          <w:lang w:val="en-GB"/>
        </w:rPr>
        <w:t>European degree (label) initiative and corresponding criteria for joint study programmes</w:t>
      </w:r>
      <w:r w:rsidR="0020482A" w:rsidRPr="002A5FAE">
        <w:rPr>
          <w:rFonts w:ascii="Tw Cen MT" w:hAnsi="Tw Cen MT"/>
          <w:sz w:val="24"/>
          <w:szCs w:val="24"/>
          <w:lang w:val="en-GB"/>
        </w:rPr>
        <w:t xml:space="preserve"> </w:t>
      </w:r>
      <w:r w:rsidR="00315B40" w:rsidRPr="002A5FAE">
        <w:rPr>
          <w:rFonts w:ascii="Tw Cen MT" w:hAnsi="Tw Cen MT"/>
          <w:sz w:val="24"/>
          <w:szCs w:val="24"/>
          <w:lang w:val="en-GB"/>
        </w:rPr>
        <w:t>–</w:t>
      </w:r>
      <w:r w:rsidR="0020482A" w:rsidRPr="002A5FAE">
        <w:rPr>
          <w:rFonts w:ascii="Tw Cen MT" w:hAnsi="Tw Cen MT"/>
          <w:sz w:val="24"/>
          <w:szCs w:val="24"/>
          <w:lang w:val="en-GB"/>
        </w:rPr>
        <w:t xml:space="preserve"> </w:t>
      </w:r>
      <w:r w:rsidR="00315B40" w:rsidRPr="002A5FAE">
        <w:rPr>
          <w:rFonts w:ascii="Tw Cen MT" w:hAnsi="Tw Cen MT"/>
          <w:sz w:val="24"/>
          <w:szCs w:val="24"/>
          <w:lang w:val="en-GB"/>
        </w:rPr>
        <w:t xml:space="preserve">Version </w:t>
      </w:r>
      <w:r w:rsidR="00271817" w:rsidRPr="002A5FAE">
        <w:rPr>
          <w:rFonts w:ascii="Tw Cen MT" w:hAnsi="Tw Cen MT"/>
          <w:sz w:val="24"/>
          <w:szCs w:val="24"/>
          <w:lang w:val="en-GB"/>
        </w:rPr>
        <w:t>27</w:t>
      </w:r>
      <w:r w:rsidR="007B4028" w:rsidRPr="002A5FAE">
        <w:rPr>
          <w:rFonts w:ascii="Tw Cen MT" w:hAnsi="Tw Cen MT"/>
          <w:sz w:val="24"/>
          <w:szCs w:val="24"/>
          <w:lang w:val="en-GB"/>
        </w:rPr>
        <w:t>/03/2024 (</w:t>
      </w:r>
      <w:r w:rsidR="7C22E49C" w:rsidRPr="002A5FAE">
        <w:rPr>
          <w:rFonts w:ascii="Tw Cen MT" w:hAnsi="Tw Cen MT"/>
          <w:sz w:val="24"/>
          <w:szCs w:val="24"/>
          <w:lang w:val="en-GB"/>
        </w:rPr>
        <w:t>subject to change,</w:t>
      </w:r>
      <w:r w:rsidR="007B4028" w:rsidRPr="002A5FAE">
        <w:rPr>
          <w:rFonts w:ascii="Tw Cen MT" w:hAnsi="Tw Cen MT"/>
          <w:sz w:val="24"/>
          <w:szCs w:val="24"/>
          <w:lang w:val="en-GB"/>
        </w:rPr>
        <w:t xml:space="preserve"> expected in May 2025)</w:t>
      </w:r>
    </w:p>
    <w:p w14:paraId="6B700A5B" w14:textId="1B12DD71" w:rsidR="004F3F5C" w:rsidRPr="002A5FAE" w:rsidRDefault="007A7DED" w:rsidP="00C12D36">
      <w:pPr>
        <w:jc w:val="both"/>
        <w:rPr>
          <w:rFonts w:ascii="Tw Cen MT" w:hAnsi="Tw Cen MT"/>
          <w:sz w:val="24"/>
          <w:szCs w:val="24"/>
          <w:lang w:val="en-GB"/>
        </w:rPr>
      </w:pPr>
      <w:r w:rsidRPr="61853D96">
        <w:rPr>
          <w:rFonts w:ascii="Tw Cen MT" w:hAnsi="Tw Cen MT"/>
          <w:sz w:val="24"/>
          <w:szCs w:val="24"/>
          <w:lang w:val="en-GB"/>
        </w:rPr>
        <w:t>In 2021, t</w:t>
      </w:r>
      <w:r w:rsidR="00B317A0" w:rsidRPr="61853D96">
        <w:rPr>
          <w:rFonts w:ascii="Tw Cen MT" w:hAnsi="Tw Cen MT"/>
          <w:sz w:val="24"/>
          <w:szCs w:val="24"/>
          <w:lang w:val="en-GB"/>
        </w:rPr>
        <w:t xml:space="preserve">he European Commission </w:t>
      </w:r>
      <w:r w:rsidRPr="61853D96">
        <w:rPr>
          <w:rFonts w:ascii="Tw Cen MT" w:hAnsi="Tw Cen MT"/>
          <w:sz w:val="24"/>
          <w:szCs w:val="24"/>
          <w:lang w:val="en-GB"/>
        </w:rPr>
        <w:t>launched</w:t>
      </w:r>
      <w:r w:rsidR="00B317A0" w:rsidRPr="61853D96">
        <w:rPr>
          <w:rFonts w:ascii="Tw Cen MT" w:hAnsi="Tw Cen MT"/>
          <w:sz w:val="24"/>
          <w:szCs w:val="24"/>
          <w:lang w:val="en-GB"/>
        </w:rPr>
        <w:t xml:space="preserve"> a new initiative </w:t>
      </w:r>
      <w:r w:rsidR="008B10B9" w:rsidRPr="61853D96">
        <w:rPr>
          <w:rFonts w:ascii="Tw Cen MT" w:hAnsi="Tw Cen MT"/>
          <w:b/>
          <w:bCs/>
          <w:sz w:val="24"/>
          <w:szCs w:val="24"/>
          <w:lang w:val="en-GB"/>
        </w:rPr>
        <w:t xml:space="preserve">to further the </w:t>
      </w:r>
      <w:r w:rsidR="00F13B68" w:rsidRPr="61853D96">
        <w:rPr>
          <w:rFonts w:ascii="Tw Cen MT" w:hAnsi="Tw Cen MT"/>
          <w:b/>
          <w:bCs/>
          <w:sz w:val="24"/>
          <w:szCs w:val="24"/>
          <w:lang w:val="en-GB"/>
        </w:rPr>
        <w:t xml:space="preserve">establishment and </w:t>
      </w:r>
      <w:r w:rsidR="008B10B9" w:rsidRPr="61853D96">
        <w:rPr>
          <w:rFonts w:ascii="Tw Cen MT" w:hAnsi="Tw Cen MT"/>
          <w:b/>
          <w:bCs/>
          <w:sz w:val="24"/>
          <w:szCs w:val="24"/>
          <w:lang w:val="en-GB"/>
        </w:rPr>
        <w:t>implementation of transnational, integrated joint study programmes</w:t>
      </w:r>
      <w:r w:rsidR="008B10B9" w:rsidRPr="61853D96">
        <w:rPr>
          <w:rFonts w:ascii="Tw Cen MT" w:hAnsi="Tw Cen MT"/>
          <w:sz w:val="24"/>
          <w:szCs w:val="24"/>
          <w:lang w:val="en-GB"/>
        </w:rPr>
        <w:t xml:space="preserve"> </w:t>
      </w:r>
      <w:r w:rsidR="00F13B68" w:rsidRPr="61853D96">
        <w:rPr>
          <w:rFonts w:ascii="Tw Cen MT" w:hAnsi="Tw Cen MT"/>
          <w:sz w:val="24"/>
          <w:szCs w:val="24"/>
          <w:lang w:val="en-GB"/>
        </w:rPr>
        <w:t xml:space="preserve">at </w:t>
      </w:r>
      <w:r w:rsidR="22A6B33E" w:rsidRPr="61853D96">
        <w:rPr>
          <w:rFonts w:ascii="Tw Cen MT" w:hAnsi="Tw Cen MT"/>
          <w:sz w:val="24"/>
          <w:szCs w:val="24"/>
          <w:lang w:val="en-GB"/>
        </w:rPr>
        <w:t>B</w:t>
      </w:r>
      <w:r w:rsidR="00F13B68" w:rsidRPr="61853D96">
        <w:rPr>
          <w:rFonts w:ascii="Tw Cen MT" w:hAnsi="Tw Cen MT"/>
          <w:sz w:val="24"/>
          <w:szCs w:val="24"/>
          <w:lang w:val="en-GB"/>
        </w:rPr>
        <w:t xml:space="preserve">achelor’s, </w:t>
      </w:r>
      <w:r w:rsidR="455AD97A" w:rsidRPr="61853D96">
        <w:rPr>
          <w:rFonts w:ascii="Tw Cen MT" w:hAnsi="Tw Cen MT"/>
          <w:sz w:val="24"/>
          <w:szCs w:val="24"/>
          <w:lang w:val="en-GB"/>
        </w:rPr>
        <w:t>M</w:t>
      </w:r>
      <w:r w:rsidR="00F13B68" w:rsidRPr="61853D96">
        <w:rPr>
          <w:rFonts w:ascii="Tw Cen MT" w:hAnsi="Tw Cen MT"/>
          <w:sz w:val="24"/>
          <w:szCs w:val="24"/>
          <w:lang w:val="en-GB"/>
        </w:rPr>
        <w:t>aster’s and doctoral level, along with the awarding of joint degrees. It aims to create a level-playing field through the implementation of a ‘European degree (label)’.</w:t>
      </w:r>
      <w:r w:rsidR="000F1E7A" w:rsidRPr="61853D96">
        <w:rPr>
          <w:rFonts w:ascii="Tw Cen MT" w:hAnsi="Tw Cen MT"/>
          <w:sz w:val="24"/>
          <w:szCs w:val="24"/>
          <w:lang w:val="en-GB"/>
        </w:rPr>
        <w:t xml:space="preserve"> </w:t>
      </w:r>
    </w:p>
    <w:p w14:paraId="436314D2" w14:textId="6E13F36D" w:rsidR="00120F98" w:rsidRPr="002A5FAE" w:rsidRDefault="004F7235" w:rsidP="00C12D36">
      <w:pPr>
        <w:jc w:val="both"/>
        <w:rPr>
          <w:rFonts w:ascii="Tw Cen MT" w:hAnsi="Tw Cen MT"/>
          <w:sz w:val="24"/>
          <w:szCs w:val="24"/>
          <w:lang w:val="en-GB"/>
        </w:rPr>
      </w:pPr>
      <w:r w:rsidRPr="61853D96">
        <w:rPr>
          <w:rFonts w:ascii="Tw Cen MT" w:hAnsi="Tw Cen MT"/>
          <w:sz w:val="24"/>
          <w:szCs w:val="24"/>
          <w:lang w:val="en-GB"/>
        </w:rPr>
        <w:t xml:space="preserve">The </w:t>
      </w:r>
      <w:r w:rsidRPr="61853D96">
        <w:rPr>
          <w:rFonts w:ascii="Tw Cen MT" w:hAnsi="Tw Cen MT"/>
          <w:b/>
          <w:bCs/>
          <w:sz w:val="24"/>
          <w:szCs w:val="24"/>
          <w:lang w:val="en-GB"/>
        </w:rPr>
        <w:t>European degree</w:t>
      </w:r>
      <w:r w:rsidRPr="61853D96">
        <w:rPr>
          <w:rFonts w:ascii="Tw Cen MT" w:hAnsi="Tw Cen MT"/>
          <w:sz w:val="24"/>
          <w:szCs w:val="24"/>
          <w:lang w:val="en-GB"/>
        </w:rPr>
        <w:t xml:space="preserve"> is </w:t>
      </w:r>
      <w:r w:rsidR="6A698CB2" w:rsidRPr="61853D96">
        <w:rPr>
          <w:rFonts w:ascii="Tw Cen MT" w:hAnsi="Tw Cen MT"/>
          <w:sz w:val="24"/>
          <w:szCs w:val="24"/>
          <w:lang w:val="en-GB"/>
        </w:rPr>
        <w:t xml:space="preserve">to be </w:t>
      </w:r>
      <w:r w:rsidRPr="61853D96">
        <w:rPr>
          <w:rFonts w:ascii="Tw Cen MT" w:hAnsi="Tw Cen MT"/>
          <w:sz w:val="24"/>
          <w:szCs w:val="24"/>
          <w:lang w:val="en-GB"/>
        </w:rPr>
        <w:t>a new type of</w:t>
      </w:r>
      <w:r w:rsidR="00A17ED8" w:rsidRPr="61853D96">
        <w:rPr>
          <w:rFonts w:ascii="Tw Cen MT" w:hAnsi="Tw Cen MT"/>
          <w:sz w:val="24"/>
          <w:szCs w:val="24"/>
          <w:lang w:val="en-GB"/>
        </w:rPr>
        <w:t xml:space="preserve"> </w:t>
      </w:r>
      <w:r w:rsidRPr="61853D96">
        <w:rPr>
          <w:rFonts w:ascii="Tw Cen MT" w:hAnsi="Tw Cen MT"/>
          <w:sz w:val="24"/>
          <w:szCs w:val="24"/>
          <w:lang w:val="en-GB"/>
        </w:rPr>
        <w:t xml:space="preserve">degree/qualification/title </w:t>
      </w:r>
      <w:r w:rsidR="00120F98" w:rsidRPr="61853D96">
        <w:rPr>
          <w:rFonts w:ascii="Tw Cen MT" w:hAnsi="Tw Cen MT"/>
          <w:sz w:val="24"/>
          <w:szCs w:val="24"/>
          <w:lang w:val="en-GB"/>
        </w:rPr>
        <w:t xml:space="preserve">awarded after transnational joint </w:t>
      </w:r>
      <w:r w:rsidR="1376DB8D" w:rsidRPr="61853D96">
        <w:rPr>
          <w:rFonts w:ascii="Tw Cen MT" w:hAnsi="Tw Cen MT"/>
          <w:sz w:val="24"/>
          <w:szCs w:val="24"/>
          <w:lang w:val="en-GB"/>
        </w:rPr>
        <w:t>B</w:t>
      </w:r>
      <w:r w:rsidR="00120F98" w:rsidRPr="61853D96">
        <w:rPr>
          <w:rFonts w:ascii="Tw Cen MT" w:hAnsi="Tw Cen MT"/>
          <w:sz w:val="24"/>
          <w:szCs w:val="24"/>
          <w:lang w:val="en-GB"/>
        </w:rPr>
        <w:t xml:space="preserve">achelor, </w:t>
      </w:r>
      <w:r w:rsidR="00F7CE33" w:rsidRPr="61853D96">
        <w:rPr>
          <w:rFonts w:ascii="Tw Cen MT" w:hAnsi="Tw Cen MT"/>
          <w:sz w:val="24"/>
          <w:szCs w:val="24"/>
          <w:lang w:val="en-GB"/>
        </w:rPr>
        <w:t>M</w:t>
      </w:r>
      <w:r w:rsidR="00120F98" w:rsidRPr="61853D96">
        <w:rPr>
          <w:rFonts w:ascii="Tw Cen MT" w:hAnsi="Tw Cen MT"/>
          <w:sz w:val="24"/>
          <w:szCs w:val="24"/>
          <w:lang w:val="en-GB"/>
        </w:rPr>
        <w:t xml:space="preserve">aster or doctoral study programmes </w:t>
      </w:r>
      <w:r w:rsidR="004B6A9E" w:rsidRPr="61853D96">
        <w:rPr>
          <w:rFonts w:ascii="Tw Cen MT" w:hAnsi="Tw Cen MT"/>
          <w:sz w:val="24"/>
          <w:szCs w:val="24"/>
          <w:lang w:val="en-GB"/>
        </w:rPr>
        <w:t xml:space="preserve">and delivered at national, regional or institutional level. </w:t>
      </w:r>
      <w:r w:rsidR="0060245D" w:rsidRPr="61853D96">
        <w:rPr>
          <w:rFonts w:ascii="Tw Cen MT" w:hAnsi="Tw Cen MT"/>
          <w:sz w:val="24"/>
          <w:szCs w:val="24"/>
          <w:lang w:val="en-GB"/>
        </w:rPr>
        <w:t xml:space="preserve">The European degree is </w:t>
      </w:r>
      <w:r w:rsidR="41F03495" w:rsidRPr="61853D96">
        <w:rPr>
          <w:rFonts w:ascii="Tw Cen MT" w:hAnsi="Tw Cen MT"/>
          <w:sz w:val="24"/>
          <w:szCs w:val="24"/>
          <w:lang w:val="en-GB"/>
        </w:rPr>
        <w:t xml:space="preserve">to be </w:t>
      </w:r>
      <w:r w:rsidR="0060245D" w:rsidRPr="61853D96">
        <w:rPr>
          <w:rFonts w:ascii="Tw Cen MT" w:hAnsi="Tw Cen MT"/>
          <w:sz w:val="24"/>
          <w:szCs w:val="24"/>
          <w:lang w:val="en-GB"/>
        </w:rPr>
        <w:t xml:space="preserve">based on </w:t>
      </w:r>
      <w:r w:rsidR="0060245D" w:rsidRPr="61853D96">
        <w:rPr>
          <w:rFonts w:ascii="Tw Cen MT" w:hAnsi="Tw Cen MT"/>
          <w:b/>
          <w:bCs/>
          <w:sz w:val="24"/>
          <w:szCs w:val="24"/>
          <w:lang w:val="en-GB"/>
        </w:rPr>
        <w:t>a set of common criteria</w:t>
      </w:r>
      <w:r w:rsidR="0060245D" w:rsidRPr="61853D96">
        <w:rPr>
          <w:rFonts w:ascii="Tw Cen MT" w:hAnsi="Tw Cen MT"/>
          <w:sz w:val="24"/>
          <w:szCs w:val="24"/>
          <w:lang w:val="en-GB"/>
        </w:rPr>
        <w:t xml:space="preserve"> agreed upon at European level and with which the joint study programmes must comply to be able to award said </w:t>
      </w:r>
      <w:r w:rsidR="0058362D" w:rsidRPr="61853D96">
        <w:rPr>
          <w:rFonts w:ascii="Tw Cen MT" w:hAnsi="Tw Cen MT"/>
          <w:sz w:val="24"/>
          <w:szCs w:val="24"/>
          <w:lang w:val="en-GB"/>
        </w:rPr>
        <w:t>degree to its graduates</w:t>
      </w:r>
      <w:r w:rsidR="0060245D" w:rsidRPr="61853D96">
        <w:rPr>
          <w:rFonts w:ascii="Tw Cen MT" w:hAnsi="Tw Cen MT"/>
          <w:sz w:val="24"/>
          <w:szCs w:val="24"/>
          <w:lang w:val="en-GB"/>
        </w:rPr>
        <w:t xml:space="preserve">. </w:t>
      </w:r>
    </w:p>
    <w:p w14:paraId="3FBBBA93" w14:textId="15419F2E" w:rsidR="004B6A9E" w:rsidRPr="002A5FAE" w:rsidRDefault="0051155D" w:rsidP="00C12D36">
      <w:pPr>
        <w:jc w:val="both"/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sz w:val="24"/>
          <w:szCs w:val="24"/>
          <w:lang w:val="en-GB"/>
        </w:rPr>
        <w:t xml:space="preserve">In March 2024, a 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>‘Blueprint’ for a European degree</w:t>
      </w:r>
      <w:r w:rsidRPr="002A5FAE">
        <w:rPr>
          <w:rFonts w:ascii="Tw Cen MT" w:hAnsi="Tw Cen MT"/>
          <w:sz w:val="24"/>
          <w:szCs w:val="24"/>
          <w:lang w:val="en-GB"/>
        </w:rPr>
        <w:t xml:space="preserve"> was published by the European Commission</w:t>
      </w:r>
      <w:r w:rsidR="002D57FC" w:rsidRPr="002A5FAE">
        <w:rPr>
          <w:rFonts w:ascii="Tw Cen MT" w:hAnsi="Tw Cen MT"/>
          <w:sz w:val="24"/>
          <w:szCs w:val="24"/>
          <w:lang w:val="en-GB"/>
        </w:rPr>
        <w:t xml:space="preserve"> as a </w:t>
      </w:r>
      <w:r w:rsidR="003F391B" w:rsidRPr="002A5FAE">
        <w:rPr>
          <w:rFonts w:ascii="Tw Cen MT" w:hAnsi="Tw Cen MT"/>
          <w:sz w:val="24"/>
          <w:szCs w:val="24"/>
          <w:lang w:val="en-GB"/>
        </w:rPr>
        <w:t xml:space="preserve">main </w:t>
      </w:r>
      <w:r w:rsidR="002D57FC" w:rsidRPr="002A5FAE">
        <w:rPr>
          <w:rFonts w:ascii="Tw Cen MT" w:hAnsi="Tw Cen MT"/>
          <w:sz w:val="24"/>
          <w:szCs w:val="24"/>
          <w:lang w:val="en-GB"/>
        </w:rPr>
        <w:t xml:space="preserve">pillar of the </w:t>
      </w:r>
      <w:r w:rsidR="003F391B" w:rsidRPr="002A5FAE">
        <w:rPr>
          <w:rFonts w:ascii="Tw Cen MT" w:hAnsi="Tw Cen MT"/>
          <w:sz w:val="24"/>
          <w:szCs w:val="24"/>
          <w:lang w:val="en-GB"/>
        </w:rPr>
        <w:t xml:space="preserve">EC’s </w:t>
      </w:r>
      <w:r w:rsidR="002D57FC" w:rsidRPr="002A5FAE">
        <w:rPr>
          <w:rFonts w:ascii="Tw Cen MT" w:hAnsi="Tw Cen MT"/>
          <w:sz w:val="24"/>
          <w:szCs w:val="24"/>
          <w:lang w:val="en-GB"/>
        </w:rPr>
        <w:t xml:space="preserve">‘higher education package’. The ‘blueprint’ </w:t>
      </w:r>
      <w:r w:rsidR="003E1E6F" w:rsidRPr="002A5FAE">
        <w:rPr>
          <w:rFonts w:ascii="Tw Cen MT" w:hAnsi="Tw Cen MT"/>
          <w:sz w:val="24"/>
          <w:szCs w:val="24"/>
          <w:lang w:val="en-GB"/>
        </w:rPr>
        <w:t xml:space="preserve">includes the idea for EU Member States to choose </w:t>
      </w:r>
      <w:r w:rsidR="007C07A9" w:rsidRPr="002A5FAE">
        <w:rPr>
          <w:rFonts w:ascii="Tw Cen MT" w:hAnsi="Tw Cen MT"/>
          <w:sz w:val="24"/>
          <w:szCs w:val="24"/>
          <w:lang w:val="en-GB"/>
        </w:rPr>
        <w:t>either for</w:t>
      </w:r>
      <w:r w:rsidR="003E1E6F" w:rsidRPr="002A5FAE">
        <w:rPr>
          <w:rFonts w:ascii="Tw Cen MT" w:hAnsi="Tw Cen MT"/>
          <w:sz w:val="24"/>
          <w:szCs w:val="24"/>
          <w:lang w:val="en-GB"/>
        </w:rPr>
        <w:t xml:space="preserve"> a ‘full-blown’ European degree</w:t>
      </w:r>
      <w:r w:rsidR="00687FBC" w:rsidRPr="002A5FAE">
        <w:rPr>
          <w:rFonts w:ascii="Tw Cen MT" w:hAnsi="Tw Cen MT"/>
          <w:sz w:val="24"/>
          <w:szCs w:val="24"/>
          <w:lang w:val="en-GB"/>
        </w:rPr>
        <w:t xml:space="preserve"> t</w:t>
      </w:r>
      <w:r w:rsidR="007C07A9" w:rsidRPr="002A5FAE">
        <w:rPr>
          <w:rFonts w:ascii="Tw Cen MT" w:hAnsi="Tw Cen MT"/>
          <w:sz w:val="24"/>
          <w:szCs w:val="24"/>
          <w:lang w:val="en-GB"/>
        </w:rPr>
        <w:t>hat can b</w:t>
      </w:r>
      <w:r w:rsidR="00687FBC" w:rsidRPr="002A5FAE">
        <w:rPr>
          <w:rFonts w:ascii="Tw Cen MT" w:hAnsi="Tw Cen MT"/>
          <w:sz w:val="24"/>
          <w:szCs w:val="24"/>
          <w:lang w:val="en-GB"/>
        </w:rPr>
        <w:t>e awarded to students graduating from joint study programmes that meet the common criteria</w:t>
      </w:r>
      <w:r w:rsidR="00C275E4" w:rsidRPr="002A5FAE">
        <w:rPr>
          <w:rFonts w:ascii="Tw Cen MT" w:hAnsi="Tw Cen MT"/>
          <w:sz w:val="24"/>
          <w:szCs w:val="24"/>
          <w:lang w:val="en-GB"/>
        </w:rPr>
        <w:t xml:space="preserve">, or for a European degree </w:t>
      </w:r>
      <w:r w:rsidR="00C275E4" w:rsidRPr="002A5FAE">
        <w:rPr>
          <w:rFonts w:ascii="Tw Cen MT" w:hAnsi="Tw Cen MT"/>
          <w:b/>
          <w:bCs/>
          <w:sz w:val="24"/>
          <w:szCs w:val="24"/>
          <w:lang w:val="en-GB"/>
        </w:rPr>
        <w:t>label</w:t>
      </w:r>
      <w:r w:rsidR="00687FBC" w:rsidRPr="002A5FAE">
        <w:rPr>
          <w:rFonts w:ascii="Tw Cen MT" w:hAnsi="Tw Cen MT"/>
          <w:sz w:val="24"/>
          <w:szCs w:val="24"/>
          <w:lang w:val="en-GB"/>
        </w:rPr>
        <w:t xml:space="preserve"> to be obtained by joint study programmes that meet the common criteria</w:t>
      </w:r>
      <w:r w:rsidR="00C275E4" w:rsidRPr="002A5FAE">
        <w:rPr>
          <w:rFonts w:ascii="Tw Cen MT" w:hAnsi="Tw Cen MT"/>
          <w:sz w:val="24"/>
          <w:szCs w:val="24"/>
          <w:lang w:val="en-GB"/>
        </w:rPr>
        <w:t>. By creating two entry points</w:t>
      </w:r>
      <w:r w:rsidR="00DB40B7" w:rsidRPr="002A5FAE">
        <w:rPr>
          <w:rFonts w:ascii="Tw Cen MT" w:hAnsi="Tw Cen MT"/>
          <w:sz w:val="24"/>
          <w:szCs w:val="24"/>
          <w:lang w:val="en-GB"/>
        </w:rPr>
        <w:t xml:space="preserve"> in the roadmap</w:t>
      </w:r>
      <w:r w:rsidR="00C275E4" w:rsidRPr="002A5FAE">
        <w:rPr>
          <w:rFonts w:ascii="Tw Cen MT" w:hAnsi="Tw Cen MT"/>
          <w:sz w:val="24"/>
          <w:szCs w:val="24"/>
          <w:lang w:val="en-GB"/>
        </w:rPr>
        <w:t>, the European Commission aim</w:t>
      </w:r>
      <w:r w:rsidR="338B46D2" w:rsidRPr="002A5FAE">
        <w:rPr>
          <w:rFonts w:ascii="Tw Cen MT" w:hAnsi="Tw Cen MT"/>
          <w:sz w:val="24"/>
          <w:szCs w:val="24"/>
          <w:lang w:val="en-GB"/>
        </w:rPr>
        <w:t>ed</w:t>
      </w:r>
      <w:r w:rsidR="00C275E4" w:rsidRPr="002A5FAE">
        <w:rPr>
          <w:rFonts w:ascii="Tw Cen MT" w:hAnsi="Tw Cen MT"/>
          <w:sz w:val="24"/>
          <w:szCs w:val="24"/>
          <w:lang w:val="en-GB"/>
        </w:rPr>
        <w:t xml:space="preserve"> to cater for differences in higher education systems across Europe</w:t>
      </w:r>
      <w:r w:rsidR="00687FBC" w:rsidRPr="002A5FAE">
        <w:rPr>
          <w:rFonts w:ascii="Tw Cen MT" w:hAnsi="Tw Cen MT"/>
          <w:sz w:val="24"/>
          <w:szCs w:val="24"/>
          <w:lang w:val="en-GB"/>
        </w:rPr>
        <w:t xml:space="preserve">. </w:t>
      </w:r>
      <w:r w:rsidR="00F92033" w:rsidRPr="002A5FAE">
        <w:rPr>
          <w:rFonts w:ascii="Tw Cen MT" w:hAnsi="Tw Cen MT"/>
          <w:sz w:val="24"/>
          <w:szCs w:val="24"/>
          <w:lang w:val="en-GB"/>
        </w:rPr>
        <w:t xml:space="preserve">The European degree (label) remains a </w:t>
      </w:r>
      <w:r w:rsidR="00F92033" w:rsidRPr="002A5FAE">
        <w:rPr>
          <w:rFonts w:ascii="Tw Cen MT" w:hAnsi="Tw Cen MT"/>
          <w:b/>
          <w:bCs/>
          <w:sz w:val="24"/>
          <w:szCs w:val="24"/>
          <w:lang w:val="en-GB"/>
        </w:rPr>
        <w:t xml:space="preserve">voluntary </w:t>
      </w:r>
      <w:r w:rsidR="001D2B56" w:rsidRPr="002A5FAE">
        <w:rPr>
          <w:rFonts w:ascii="Tw Cen MT" w:hAnsi="Tw Cen MT"/>
          <w:b/>
          <w:bCs/>
          <w:sz w:val="24"/>
          <w:szCs w:val="24"/>
          <w:lang w:val="en-GB"/>
        </w:rPr>
        <w:t>policy</w:t>
      </w:r>
      <w:r w:rsidR="00C63E5E" w:rsidRPr="002A5FAE">
        <w:rPr>
          <w:rFonts w:ascii="Tw Cen MT" w:hAnsi="Tw Cen MT"/>
          <w:b/>
          <w:bCs/>
          <w:sz w:val="24"/>
          <w:szCs w:val="24"/>
          <w:lang w:val="en-GB"/>
        </w:rPr>
        <w:t xml:space="preserve"> </w:t>
      </w:r>
      <w:r w:rsidR="00F92033" w:rsidRPr="002A5FAE">
        <w:rPr>
          <w:rFonts w:ascii="Tw Cen MT" w:hAnsi="Tw Cen MT"/>
          <w:b/>
          <w:bCs/>
          <w:sz w:val="24"/>
          <w:szCs w:val="24"/>
          <w:lang w:val="en-GB"/>
        </w:rPr>
        <w:t>instrument</w:t>
      </w:r>
      <w:r w:rsidR="00F92033" w:rsidRPr="002A5FAE">
        <w:rPr>
          <w:rFonts w:ascii="Tw Cen MT" w:hAnsi="Tw Cen MT"/>
          <w:sz w:val="24"/>
          <w:szCs w:val="24"/>
          <w:lang w:val="en-GB"/>
        </w:rPr>
        <w:t xml:space="preserve"> </w:t>
      </w:r>
      <w:r w:rsidR="0081620E" w:rsidRPr="002A5FAE">
        <w:rPr>
          <w:rFonts w:ascii="Tw Cen MT" w:hAnsi="Tw Cen MT"/>
          <w:sz w:val="24"/>
          <w:szCs w:val="24"/>
          <w:lang w:val="en-GB"/>
        </w:rPr>
        <w:t xml:space="preserve">initiated by the EU but </w:t>
      </w:r>
      <w:r w:rsidR="00C63E5E" w:rsidRPr="002A5FAE">
        <w:rPr>
          <w:rFonts w:ascii="Tw Cen MT" w:hAnsi="Tw Cen MT"/>
          <w:sz w:val="24"/>
          <w:szCs w:val="24"/>
          <w:lang w:val="en-GB"/>
        </w:rPr>
        <w:t>to be in</w:t>
      </w:r>
      <w:r w:rsidR="0081620E" w:rsidRPr="002A5FAE">
        <w:rPr>
          <w:rFonts w:ascii="Tw Cen MT" w:hAnsi="Tw Cen MT"/>
          <w:sz w:val="24"/>
          <w:szCs w:val="24"/>
          <w:lang w:val="en-GB"/>
        </w:rPr>
        <w:t>tegrated</w:t>
      </w:r>
      <w:r w:rsidR="00C63E5E" w:rsidRPr="002A5FAE">
        <w:rPr>
          <w:rFonts w:ascii="Tw Cen MT" w:hAnsi="Tw Cen MT"/>
          <w:sz w:val="24"/>
          <w:szCs w:val="24"/>
          <w:lang w:val="en-GB"/>
        </w:rPr>
        <w:t xml:space="preserve"> in national or regional </w:t>
      </w:r>
      <w:r w:rsidR="0081620E" w:rsidRPr="002A5FAE">
        <w:rPr>
          <w:rFonts w:ascii="Tw Cen MT" w:hAnsi="Tw Cen MT"/>
          <w:sz w:val="24"/>
          <w:szCs w:val="24"/>
          <w:lang w:val="en-GB"/>
        </w:rPr>
        <w:t>regulatory frameworks.</w:t>
      </w:r>
    </w:p>
    <w:p w14:paraId="4A1C4474" w14:textId="59974C41" w:rsidR="0027099B" w:rsidRPr="002A5FAE" w:rsidRDefault="0027099B" w:rsidP="00C12D36">
      <w:pPr>
        <w:jc w:val="both"/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sz w:val="24"/>
          <w:szCs w:val="24"/>
          <w:lang w:val="en-GB"/>
        </w:rPr>
        <w:t>In addition to the blueprint for a European degree, the higher education package include</w:t>
      </w:r>
      <w:r w:rsidR="005E637F" w:rsidRPr="002A5FAE">
        <w:rPr>
          <w:rFonts w:ascii="Tw Cen MT" w:hAnsi="Tw Cen MT"/>
          <w:sz w:val="24"/>
          <w:szCs w:val="24"/>
          <w:lang w:val="en-GB"/>
        </w:rPr>
        <w:t>d</w:t>
      </w:r>
      <w:r w:rsidRPr="002A5FAE">
        <w:rPr>
          <w:rFonts w:ascii="Tw Cen MT" w:hAnsi="Tw Cen MT"/>
          <w:sz w:val="24"/>
          <w:szCs w:val="24"/>
          <w:lang w:val="en-GB"/>
        </w:rPr>
        <w:t xml:space="preserve"> a </w:t>
      </w:r>
      <w:r w:rsidR="005E637F" w:rsidRPr="002A5FAE">
        <w:rPr>
          <w:rFonts w:ascii="Tw Cen MT" w:hAnsi="Tw Cen MT"/>
          <w:sz w:val="24"/>
          <w:szCs w:val="24"/>
          <w:lang w:val="en-GB"/>
        </w:rPr>
        <w:t xml:space="preserve">proposal for a </w:t>
      </w:r>
      <w:r w:rsidRPr="002A5FAE">
        <w:rPr>
          <w:rFonts w:ascii="Tw Cen MT" w:hAnsi="Tw Cen MT"/>
          <w:sz w:val="24"/>
          <w:szCs w:val="24"/>
          <w:lang w:val="en-GB"/>
        </w:rPr>
        <w:t xml:space="preserve">Council Recommendation on </w:t>
      </w:r>
      <w:r w:rsidR="00E22998" w:rsidRPr="002A5FAE">
        <w:rPr>
          <w:rFonts w:ascii="Tw Cen MT" w:hAnsi="Tw Cen MT"/>
          <w:sz w:val="24"/>
          <w:szCs w:val="24"/>
          <w:lang w:val="en-GB"/>
        </w:rPr>
        <w:t xml:space="preserve">a European quality assurance and recognition system in higher education </w:t>
      </w:r>
      <w:r w:rsidR="005E637F" w:rsidRPr="002A5FAE">
        <w:rPr>
          <w:rFonts w:ascii="Tw Cen MT" w:hAnsi="Tw Cen MT"/>
          <w:sz w:val="24"/>
          <w:szCs w:val="24"/>
          <w:lang w:val="en-GB"/>
        </w:rPr>
        <w:t xml:space="preserve">(still under discussion) and a proposal for a Council Recommendation on attractive and sustainable careers in higher education </w:t>
      </w:r>
      <w:r w:rsidR="00C70D6D" w:rsidRPr="002A5FAE">
        <w:rPr>
          <w:rFonts w:ascii="Tw Cen MT" w:hAnsi="Tw Cen MT"/>
          <w:sz w:val="24"/>
          <w:szCs w:val="24"/>
          <w:lang w:val="en-GB"/>
        </w:rPr>
        <w:t>(adopted under the Hungarian presidency</w:t>
      </w:r>
      <w:r w:rsidR="00AB55CB" w:rsidRPr="002A5FAE">
        <w:rPr>
          <w:rFonts w:ascii="Tw Cen MT" w:hAnsi="Tw Cen MT"/>
          <w:sz w:val="24"/>
          <w:szCs w:val="24"/>
          <w:lang w:val="en-GB"/>
        </w:rPr>
        <w:t xml:space="preserve"> in</w:t>
      </w:r>
      <w:r w:rsidR="009C1313" w:rsidRPr="002A5FAE">
        <w:rPr>
          <w:rFonts w:ascii="Tw Cen MT" w:hAnsi="Tw Cen MT"/>
          <w:sz w:val="24"/>
          <w:szCs w:val="24"/>
          <w:lang w:val="en-GB"/>
        </w:rPr>
        <w:t xml:space="preserve"> Nov. </w:t>
      </w:r>
      <w:r w:rsidR="00AB55CB" w:rsidRPr="002A5FAE">
        <w:rPr>
          <w:rFonts w:ascii="Tw Cen MT" w:hAnsi="Tw Cen MT"/>
          <w:sz w:val="24"/>
          <w:szCs w:val="24"/>
          <w:lang w:val="en-GB"/>
        </w:rPr>
        <w:t>2024).</w:t>
      </w:r>
      <w:r w:rsidR="008C55C8" w:rsidRPr="002A5FAE">
        <w:rPr>
          <w:rFonts w:ascii="Tw Cen MT" w:hAnsi="Tw Cen MT"/>
          <w:sz w:val="24"/>
          <w:szCs w:val="24"/>
          <w:lang w:val="en-GB"/>
        </w:rPr>
        <w:t xml:space="preserve"> The </w:t>
      </w:r>
      <w:r w:rsidR="008C55C8" w:rsidRPr="002A5FAE">
        <w:rPr>
          <w:rFonts w:ascii="Tw Cen MT" w:hAnsi="Tw Cen MT"/>
          <w:b/>
          <w:bCs/>
          <w:sz w:val="24"/>
          <w:szCs w:val="24"/>
          <w:lang w:val="en-GB"/>
        </w:rPr>
        <w:t xml:space="preserve">common criteria that </w:t>
      </w:r>
      <w:r w:rsidR="24309165" w:rsidRPr="002A5FAE">
        <w:rPr>
          <w:rFonts w:ascii="Tw Cen MT" w:hAnsi="Tw Cen MT"/>
          <w:b/>
          <w:bCs/>
          <w:sz w:val="24"/>
          <w:szCs w:val="24"/>
          <w:lang w:val="en-GB"/>
        </w:rPr>
        <w:t>are to</w:t>
      </w:r>
      <w:r w:rsidR="008C55C8" w:rsidRPr="002A5FAE">
        <w:rPr>
          <w:rFonts w:ascii="Tw Cen MT" w:hAnsi="Tw Cen MT"/>
          <w:b/>
          <w:bCs/>
          <w:sz w:val="24"/>
          <w:szCs w:val="24"/>
          <w:lang w:val="en-GB"/>
        </w:rPr>
        <w:t xml:space="preserve"> form the basis of the European degree (label) </w:t>
      </w:r>
      <w:r w:rsidR="009C1313" w:rsidRPr="002A5FAE">
        <w:rPr>
          <w:rFonts w:ascii="Tw Cen MT" w:hAnsi="Tw Cen MT"/>
          <w:b/>
          <w:bCs/>
          <w:sz w:val="24"/>
          <w:szCs w:val="24"/>
          <w:lang w:val="en-GB"/>
        </w:rPr>
        <w:t>were</w:t>
      </w:r>
      <w:r w:rsidR="008C55C8" w:rsidRPr="002A5FAE">
        <w:rPr>
          <w:rFonts w:ascii="Tw Cen MT" w:hAnsi="Tw Cen MT"/>
          <w:b/>
          <w:bCs/>
          <w:sz w:val="24"/>
          <w:szCs w:val="24"/>
          <w:lang w:val="en-GB"/>
        </w:rPr>
        <w:t xml:space="preserve"> included</w:t>
      </w:r>
      <w:r w:rsidR="008C55C8" w:rsidRPr="002A5FAE">
        <w:rPr>
          <w:rFonts w:ascii="Tw Cen MT" w:hAnsi="Tw Cen MT"/>
          <w:sz w:val="24"/>
          <w:szCs w:val="24"/>
          <w:lang w:val="en-GB"/>
        </w:rPr>
        <w:t xml:space="preserve"> as Annex</w:t>
      </w:r>
      <w:r w:rsidR="00530544" w:rsidRPr="002A5FAE">
        <w:rPr>
          <w:rFonts w:ascii="Tw Cen MT" w:hAnsi="Tw Cen MT"/>
          <w:sz w:val="24"/>
          <w:szCs w:val="24"/>
          <w:lang w:val="en-GB"/>
        </w:rPr>
        <w:t xml:space="preserve"> II</w:t>
      </w:r>
      <w:r w:rsidR="008C55C8" w:rsidRPr="002A5FAE">
        <w:rPr>
          <w:rFonts w:ascii="Tw Cen MT" w:hAnsi="Tw Cen MT"/>
          <w:sz w:val="24"/>
          <w:szCs w:val="24"/>
          <w:lang w:val="en-GB"/>
        </w:rPr>
        <w:t xml:space="preserve"> to the </w:t>
      </w:r>
      <w:r w:rsidR="00530544" w:rsidRPr="002A5FAE">
        <w:rPr>
          <w:rFonts w:ascii="Tw Cen MT" w:hAnsi="Tw Cen MT"/>
          <w:sz w:val="24"/>
          <w:szCs w:val="24"/>
          <w:lang w:val="en-GB"/>
        </w:rPr>
        <w:t>proposal for a Council Recommendation on a European quality assurance and recognition system in higher education</w:t>
      </w:r>
      <w:r w:rsidR="5CED2521" w:rsidRPr="002A5FAE">
        <w:rPr>
          <w:rFonts w:ascii="Tw Cen MT" w:hAnsi="Tw Cen MT"/>
          <w:sz w:val="24"/>
          <w:szCs w:val="24"/>
          <w:lang w:val="en-GB"/>
        </w:rPr>
        <w:t xml:space="preserve">, after a round of co-creation through a number of pilot projects (in one of which, i.e. </w:t>
      </w:r>
      <w:proofErr w:type="spellStart"/>
      <w:r w:rsidR="5CED2521" w:rsidRPr="002A5FAE">
        <w:rPr>
          <w:rFonts w:ascii="Tw Cen MT" w:hAnsi="Tw Cen MT"/>
          <w:sz w:val="24"/>
          <w:szCs w:val="24"/>
          <w:lang w:val="en-GB"/>
        </w:rPr>
        <w:t>ED</w:t>
      </w:r>
      <w:r w:rsidR="00F071A4" w:rsidRPr="002A5FAE">
        <w:rPr>
          <w:rFonts w:ascii="Tw Cen MT" w:hAnsi="Tw Cen MT"/>
          <w:sz w:val="24"/>
          <w:szCs w:val="24"/>
          <w:lang w:val="en-GB"/>
        </w:rPr>
        <w:t>Lab</w:t>
      </w:r>
      <w:proofErr w:type="spellEnd"/>
      <w:r w:rsidR="5CED2521" w:rsidRPr="002A5FAE">
        <w:rPr>
          <w:rFonts w:ascii="Tw Cen MT" w:hAnsi="Tw Cen MT"/>
          <w:sz w:val="24"/>
          <w:szCs w:val="24"/>
          <w:lang w:val="en-GB"/>
        </w:rPr>
        <w:t>, ENLIGHT was represented)</w:t>
      </w:r>
      <w:r w:rsidR="00530544" w:rsidRPr="002A5FAE">
        <w:rPr>
          <w:rFonts w:ascii="Tw Cen MT" w:hAnsi="Tw Cen MT"/>
          <w:sz w:val="24"/>
          <w:szCs w:val="24"/>
          <w:lang w:val="en-GB"/>
        </w:rPr>
        <w:t>.</w:t>
      </w:r>
    </w:p>
    <w:p w14:paraId="022A8CFA" w14:textId="6247534C" w:rsidR="004B6A9E" w:rsidRPr="002A5FAE" w:rsidRDefault="0081620E" w:rsidP="00C12D36">
      <w:pPr>
        <w:jc w:val="both"/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sz w:val="24"/>
          <w:szCs w:val="24"/>
          <w:lang w:val="en-GB"/>
        </w:rPr>
        <w:t>Th</w:t>
      </w:r>
      <w:r w:rsidR="00CF30BF" w:rsidRPr="002A5FAE">
        <w:rPr>
          <w:rFonts w:ascii="Tw Cen MT" w:hAnsi="Tw Cen MT"/>
          <w:sz w:val="24"/>
          <w:szCs w:val="24"/>
          <w:lang w:val="en-GB"/>
        </w:rPr>
        <w:t xml:space="preserve">e European degree (label) </w:t>
      </w:r>
      <w:r w:rsidRPr="002A5FAE">
        <w:rPr>
          <w:rFonts w:ascii="Tw Cen MT" w:hAnsi="Tw Cen MT"/>
          <w:sz w:val="24"/>
          <w:szCs w:val="24"/>
          <w:lang w:val="en-GB"/>
        </w:rPr>
        <w:t xml:space="preserve">initiative, corresponding procedures and the underlying </w:t>
      </w:r>
      <w:r w:rsidR="00CF30BF" w:rsidRPr="002A5FAE">
        <w:rPr>
          <w:rFonts w:ascii="Tw Cen MT" w:hAnsi="Tw Cen MT"/>
          <w:sz w:val="24"/>
          <w:szCs w:val="24"/>
          <w:lang w:val="en-GB"/>
        </w:rPr>
        <w:t xml:space="preserve">common </w:t>
      </w:r>
      <w:r w:rsidRPr="002A5FAE">
        <w:rPr>
          <w:rFonts w:ascii="Tw Cen MT" w:hAnsi="Tw Cen MT"/>
          <w:sz w:val="24"/>
          <w:szCs w:val="24"/>
          <w:lang w:val="en-GB"/>
        </w:rPr>
        <w:t xml:space="preserve">criteria </w:t>
      </w:r>
      <w:r w:rsidR="00CF30BF" w:rsidRPr="002A5FAE">
        <w:rPr>
          <w:rFonts w:ascii="Tw Cen MT" w:hAnsi="Tw Cen MT"/>
          <w:sz w:val="24"/>
          <w:szCs w:val="24"/>
          <w:lang w:val="en-GB"/>
        </w:rPr>
        <w:t xml:space="preserve">to be met by the joint study programmes </w:t>
      </w:r>
      <w:r w:rsidRPr="002A5FAE">
        <w:rPr>
          <w:rFonts w:ascii="Tw Cen MT" w:hAnsi="Tw Cen MT"/>
          <w:sz w:val="24"/>
          <w:szCs w:val="24"/>
          <w:lang w:val="en-GB"/>
        </w:rPr>
        <w:t xml:space="preserve">are </w:t>
      </w:r>
      <w:r w:rsidRPr="002A5FAE">
        <w:rPr>
          <w:rFonts w:ascii="Tw Cen MT" w:hAnsi="Tw Cen MT"/>
          <w:b/>
          <w:bCs/>
          <w:sz w:val="24"/>
          <w:szCs w:val="24"/>
          <w:lang w:val="en-GB"/>
        </w:rPr>
        <w:t>still much under development</w:t>
      </w:r>
      <w:r w:rsidRPr="002A5FAE">
        <w:rPr>
          <w:rFonts w:ascii="Tw Cen MT" w:hAnsi="Tw Cen MT"/>
          <w:sz w:val="24"/>
          <w:szCs w:val="24"/>
          <w:lang w:val="en-GB"/>
        </w:rPr>
        <w:t xml:space="preserve"> and are currently being discussed by the EU Member States in the Council of the EU.</w:t>
      </w:r>
      <w:r w:rsidR="00B22580" w:rsidRPr="002A5FAE">
        <w:rPr>
          <w:rFonts w:ascii="Tw Cen MT" w:hAnsi="Tw Cen MT"/>
          <w:sz w:val="24"/>
          <w:szCs w:val="24"/>
          <w:lang w:val="en-GB"/>
        </w:rPr>
        <w:t xml:space="preserve"> Nevertheless, the common criteria for the European degree (label) in their </w:t>
      </w:r>
      <w:r w:rsidR="00E24B15" w:rsidRPr="002A5FAE">
        <w:rPr>
          <w:rFonts w:ascii="Tw Cen MT" w:hAnsi="Tw Cen MT"/>
          <w:sz w:val="24"/>
          <w:szCs w:val="24"/>
          <w:lang w:val="en-GB"/>
        </w:rPr>
        <w:t xml:space="preserve">draft </w:t>
      </w:r>
      <w:r w:rsidR="00B22580" w:rsidRPr="002A5FAE">
        <w:rPr>
          <w:rFonts w:ascii="Tw Cen MT" w:hAnsi="Tw Cen MT"/>
          <w:sz w:val="24"/>
          <w:szCs w:val="24"/>
          <w:lang w:val="en-GB"/>
        </w:rPr>
        <w:t xml:space="preserve">form may already serve </w:t>
      </w:r>
      <w:r w:rsidR="008C325F" w:rsidRPr="002A5FAE">
        <w:rPr>
          <w:rFonts w:ascii="Tw Cen MT" w:hAnsi="Tw Cen MT"/>
          <w:sz w:val="24"/>
          <w:szCs w:val="24"/>
          <w:lang w:val="en-GB"/>
        </w:rPr>
        <w:t xml:space="preserve">as a </w:t>
      </w:r>
      <w:r w:rsidR="008C325F" w:rsidRPr="002A5FAE">
        <w:rPr>
          <w:rFonts w:ascii="Tw Cen MT" w:hAnsi="Tw Cen MT"/>
          <w:b/>
          <w:bCs/>
          <w:sz w:val="24"/>
          <w:szCs w:val="24"/>
          <w:lang w:val="en-GB"/>
        </w:rPr>
        <w:t>source of inspiration for the development of ENLIGHT joint study programmes</w:t>
      </w:r>
      <w:r w:rsidR="2BC42F60" w:rsidRPr="002A5FAE">
        <w:rPr>
          <w:rFonts w:ascii="Tw Cen MT" w:hAnsi="Tw Cen MT"/>
          <w:b/>
          <w:bCs/>
          <w:sz w:val="24"/>
          <w:szCs w:val="24"/>
          <w:lang w:val="en-GB"/>
        </w:rPr>
        <w:t>, also with a view to possible future funding calls</w:t>
      </w:r>
      <w:r w:rsidR="008C325F" w:rsidRPr="002A5FAE">
        <w:rPr>
          <w:rFonts w:ascii="Tw Cen MT" w:hAnsi="Tw Cen MT"/>
          <w:sz w:val="24"/>
          <w:szCs w:val="24"/>
          <w:lang w:val="en-GB"/>
        </w:rPr>
        <w:t xml:space="preserve">. </w:t>
      </w:r>
      <w:r w:rsidR="00E24B15" w:rsidRPr="002A5FAE">
        <w:rPr>
          <w:rFonts w:ascii="Tw Cen MT" w:hAnsi="Tw Cen MT"/>
          <w:sz w:val="24"/>
          <w:szCs w:val="24"/>
          <w:lang w:val="en-GB"/>
        </w:rPr>
        <w:t xml:space="preserve">Further developments at EU level, </w:t>
      </w:r>
      <w:proofErr w:type="spellStart"/>
      <w:r w:rsidR="00E24B15" w:rsidRPr="002A5FAE">
        <w:rPr>
          <w:rFonts w:ascii="Tw Cen MT" w:hAnsi="Tw Cen MT"/>
          <w:sz w:val="24"/>
          <w:szCs w:val="24"/>
          <w:lang w:val="en-GB"/>
        </w:rPr>
        <w:t>a.o.</w:t>
      </w:r>
      <w:proofErr w:type="spellEnd"/>
      <w:r w:rsidR="00E24B15" w:rsidRPr="002A5FAE">
        <w:rPr>
          <w:rFonts w:ascii="Tw Cen MT" w:hAnsi="Tw Cen MT"/>
          <w:sz w:val="24"/>
          <w:szCs w:val="24"/>
          <w:lang w:val="en-GB"/>
        </w:rPr>
        <w:t xml:space="preserve"> related to the (approval of the) common criteria, are expected in May 2025. </w:t>
      </w:r>
    </w:p>
    <w:p w14:paraId="07358259" w14:textId="7DBF8A39" w:rsidR="008C325F" w:rsidRPr="002A5FAE" w:rsidRDefault="00FB78D0" w:rsidP="00987BAC">
      <w:pPr>
        <w:rPr>
          <w:rFonts w:ascii="Tw Cen MT" w:hAnsi="Tw Cen MT"/>
          <w:sz w:val="24"/>
          <w:szCs w:val="24"/>
          <w:lang w:val="en-GB"/>
        </w:rPr>
      </w:pPr>
      <w:r w:rsidRPr="002A5FAE">
        <w:rPr>
          <w:rFonts w:ascii="Tw Cen MT" w:hAnsi="Tw Cen MT"/>
          <w:sz w:val="24"/>
          <w:szCs w:val="24"/>
          <w:lang w:val="en-GB"/>
        </w:rPr>
        <w:t>Further</w:t>
      </w:r>
      <w:r w:rsidR="008C325F" w:rsidRPr="002A5FAE">
        <w:rPr>
          <w:rFonts w:ascii="Tw Cen MT" w:hAnsi="Tw Cen MT"/>
          <w:sz w:val="24"/>
          <w:szCs w:val="24"/>
          <w:lang w:val="en-GB"/>
        </w:rPr>
        <w:t xml:space="preserve"> information: </w:t>
      </w:r>
    </w:p>
    <w:p w14:paraId="67C73FC6" w14:textId="22C5C71E" w:rsidR="008C325F" w:rsidRPr="002A5FAE" w:rsidRDefault="008C325F" w:rsidP="008C325F">
      <w:pPr>
        <w:pStyle w:val="ListParagraph"/>
        <w:numPr>
          <w:ilvl w:val="0"/>
          <w:numId w:val="11"/>
        </w:numPr>
        <w:rPr>
          <w:rFonts w:ascii="Tw Cen MT" w:hAnsi="Tw Cen MT"/>
          <w:sz w:val="24"/>
          <w:szCs w:val="24"/>
          <w:lang w:val="en-GB"/>
        </w:rPr>
      </w:pPr>
      <w:hyperlink r:id="rId13" w:history="1">
        <w:r w:rsidRPr="002A5FAE">
          <w:rPr>
            <w:rStyle w:val="Hyperlink"/>
            <w:rFonts w:ascii="Tw Cen MT" w:hAnsi="Tw Cen MT"/>
            <w:sz w:val="24"/>
            <w:szCs w:val="24"/>
            <w:lang w:val="en-GB"/>
          </w:rPr>
          <w:t>EC higher education package of March 2024</w:t>
        </w:r>
        <w:r w:rsidR="00415F59" w:rsidRPr="002A5FAE">
          <w:rPr>
            <w:rStyle w:val="Hyperlink"/>
            <w:rFonts w:ascii="Tw Cen MT" w:hAnsi="Tw Cen MT"/>
            <w:sz w:val="24"/>
            <w:szCs w:val="24"/>
            <w:lang w:val="en-GB"/>
          </w:rPr>
          <w:t xml:space="preserve"> and Blueprint for a European degree</w:t>
        </w:r>
      </w:hyperlink>
    </w:p>
    <w:p w14:paraId="30396E93" w14:textId="6C588C28" w:rsidR="003F1CB4" w:rsidRPr="002A5FAE" w:rsidRDefault="002164E4" w:rsidP="008C325F">
      <w:pPr>
        <w:pStyle w:val="ListParagraph"/>
        <w:numPr>
          <w:ilvl w:val="0"/>
          <w:numId w:val="11"/>
        </w:numPr>
        <w:rPr>
          <w:rFonts w:ascii="Tw Cen MT" w:hAnsi="Tw Cen MT"/>
          <w:sz w:val="24"/>
          <w:szCs w:val="24"/>
          <w:lang w:val="en-GB"/>
        </w:rPr>
      </w:pPr>
      <w:hyperlink r:id="rId14" w:history="1">
        <w:r w:rsidRPr="002A5FAE">
          <w:rPr>
            <w:rStyle w:val="Hyperlink"/>
            <w:rFonts w:ascii="Tw Cen MT" w:hAnsi="Tw Cen MT"/>
            <w:sz w:val="24"/>
            <w:szCs w:val="24"/>
            <w:lang w:val="en-GB"/>
          </w:rPr>
          <w:t>EC info page working towards a European degree</w:t>
        </w:r>
      </w:hyperlink>
    </w:p>
    <w:p w14:paraId="7842FBB2" w14:textId="77777777" w:rsidR="00680F9A" w:rsidRPr="002A5FAE" w:rsidRDefault="00C5785A" w:rsidP="00680F9A">
      <w:pPr>
        <w:pStyle w:val="ListParagraph"/>
        <w:numPr>
          <w:ilvl w:val="0"/>
          <w:numId w:val="11"/>
        </w:numPr>
        <w:rPr>
          <w:rFonts w:ascii="Tw Cen MT" w:hAnsi="Tw Cen MT"/>
          <w:sz w:val="24"/>
          <w:szCs w:val="24"/>
          <w:lang w:val="en-GB"/>
        </w:rPr>
      </w:pPr>
      <w:hyperlink r:id="rId15" w:history="1">
        <w:r w:rsidRPr="002A5FAE">
          <w:rPr>
            <w:rStyle w:val="Hyperlink"/>
            <w:rFonts w:ascii="Tw Cen MT" w:hAnsi="Tw Cen MT"/>
            <w:sz w:val="24"/>
            <w:szCs w:val="24"/>
            <w:lang w:val="en-GB"/>
          </w:rPr>
          <w:t>Annex II</w:t>
        </w:r>
        <w:r w:rsidR="008556AE" w:rsidRPr="002A5FAE">
          <w:rPr>
            <w:rStyle w:val="Hyperlink"/>
            <w:rFonts w:ascii="Tw Cen MT" w:hAnsi="Tw Cen MT"/>
            <w:sz w:val="24"/>
            <w:szCs w:val="24"/>
            <w:lang w:val="en-GB"/>
          </w:rPr>
          <w:t xml:space="preserve"> draft set of European criteria for a European degree (label)</w:t>
        </w:r>
      </w:hyperlink>
      <w:r w:rsidR="009225FC" w:rsidRPr="002A5FAE">
        <w:rPr>
          <w:rFonts w:ascii="Tw Cen MT" w:hAnsi="Tw Cen MT"/>
          <w:sz w:val="24"/>
          <w:szCs w:val="24"/>
          <w:lang w:val="en-GB"/>
        </w:rPr>
        <w:t xml:space="preserve"> (as part of the annexes to the proposal for a Council Recommendation on a European quality assurance and recognition system in higher education)</w:t>
      </w:r>
    </w:p>
    <w:p w14:paraId="714E871E" w14:textId="404027C8" w:rsidR="000C6652" w:rsidRPr="002A5FAE" w:rsidRDefault="00017EEA" w:rsidP="00680F9A">
      <w:pPr>
        <w:pStyle w:val="ListParagraph"/>
        <w:numPr>
          <w:ilvl w:val="0"/>
          <w:numId w:val="11"/>
        </w:numPr>
        <w:rPr>
          <w:rFonts w:ascii="Tw Cen MT" w:hAnsi="Tw Cen MT"/>
          <w:sz w:val="24"/>
          <w:szCs w:val="24"/>
          <w:lang w:val="en-GB"/>
        </w:rPr>
      </w:pPr>
      <w:hyperlink r:id="rId16" w:history="1">
        <w:r w:rsidRPr="002A5FAE">
          <w:rPr>
            <w:rStyle w:val="Hyperlink"/>
            <w:rFonts w:ascii="Tw Cen MT" w:hAnsi="Tw Cen MT"/>
            <w:sz w:val="24"/>
            <w:szCs w:val="24"/>
            <w:lang w:val="en-GB"/>
          </w:rPr>
          <w:t>FAQ on the blueprint for a European degree</w:t>
        </w:r>
      </w:hyperlink>
    </w:p>
    <w:sectPr w:rsidR="000C6652" w:rsidRPr="002A5FAE" w:rsidSect="005B2171">
      <w:headerReference w:type="default" r:id="rId17"/>
      <w:footerReference w:type="defaul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944FA" w14:textId="77777777" w:rsidR="008A0FAC" w:rsidRDefault="008A0FAC">
      <w:pPr>
        <w:spacing w:after="0" w:line="240" w:lineRule="auto"/>
      </w:pPr>
      <w:r>
        <w:separator/>
      </w:r>
    </w:p>
  </w:endnote>
  <w:endnote w:type="continuationSeparator" w:id="0">
    <w:p w14:paraId="0EA69A50" w14:textId="77777777" w:rsidR="008A0FAC" w:rsidRDefault="008A0FAC">
      <w:pPr>
        <w:spacing w:after="0" w:line="240" w:lineRule="auto"/>
      </w:pPr>
      <w:r>
        <w:continuationSeparator/>
      </w:r>
    </w:p>
  </w:endnote>
  <w:endnote w:type="continuationNotice" w:id="1">
    <w:p w14:paraId="01E00F26" w14:textId="77777777" w:rsidR="008A0FAC" w:rsidRDefault="008A0F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147C0F" w14:paraId="16D9D12C" w14:textId="77777777" w:rsidTr="5D8206D2">
      <w:trPr>
        <w:trHeight w:val="300"/>
      </w:trPr>
      <w:tc>
        <w:tcPr>
          <w:tcW w:w="3005" w:type="dxa"/>
        </w:tcPr>
        <w:p w14:paraId="2FAC228E" w14:textId="049E5426" w:rsidR="49147C0F" w:rsidRDefault="49147C0F" w:rsidP="5D8206D2">
          <w:pPr>
            <w:ind w:left="-115"/>
          </w:pPr>
          <w:r>
            <w:br/>
          </w:r>
        </w:p>
      </w:tc>
      <w:tc>
        <w:tcPr>
          <w:tcW w:w="3005" w:type="dxa"/>
        </w:tcPr>
        <w:p w14:paraId="3CE6B931" w14:textId="2D981D0E" w:rsidR="49147C0F" w:rsidRDefault="49147C0F" w:rsidP="49147C0F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17DDA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14:paraId="14B4D244" w14:textId="0F8911C2" w:rsidR="49147C0F" w:rsidRDefault="49147C0F" w:rsidP="49147C0F">
          <w:pPr>
            <w:pStyle w:val="Header"/>
            <w:ind w:right="-115"/>
            <w:jc w:val="right"/>
          </w:pPr>
        </w:p>
      </w:tc>
    </w:tr>
  </w:tbl>
  <w:p w14:paraId="384BCC95" w14:textId="36556314" w:rsidR="00773C51" w:rsidRPr="00F55528" w:rsidRDefault="00773C51" w:rsidP="005F2301">
    <w:pPr>
      <w:spacing w:after="0"/>
      <w:textAlignment w:val="baseline"/>
      <w:rPr>
        <w:rFonts w:ascii="Segoe UI" w:hAnsi="Segoe UI" w:cs="Segoe UI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69E194" wp14:editId="2C8C862F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057275" cy="228600"/>
          <wp:effectExtent l="0" t="0" r="9525" b="0"/>
          <wp:wrapNone/>
          <wp:docPr id="941113928" name="Picture 941113928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Fu</w:t>
    </w:r>
    <w:r w:rsidRPr="00F55528"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nded by the European Union. Views and opinions expressed are however those of the author(s) only and do not necessarily </w:t>
    </w:r>
    <w:r w:rsidRPr="00F55528">
      <w:rPr>
        <w:rFonts w:ascii="Tw Cen MT" w:hAnsi="Tw Cen MT" w:cs="Segoe UI"/>
        <w:color w:val="000000"/>
        <w:sz w:val="14"/>
        <w:szCs w:val="14"/>
        <w:lang w:val="en-US"/>
      </w:rPr>
      <w:t> </w:t>
    </w:r>
  </w:p>
  <w:p w14:paraId="4EF44BB1" w14:textId="7DB1A26E" w:rsidR="00773C51" w:rsidRPr="00F55528" w:rsidRDefault="00773C51" w:rsidP="005F2301">
    <w:pPr>
      <w:spacing w:after="0"/>
      <w:textAlignment w:val="baseline"/>
      <w:rPr>
        <w:rFonts w:ascii="Segoe UI" w:hAnsi="Segoe UI" w:cs="Segoe UI"/>
        <w:sz w:val="18"/>
        <w:szCs w:val="18"/>
        <w:lang w:val="en-US"/>
      </w:rPr>
    </w:pPr>
    <w:r w:rsidRPr="00F55528"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reflect those of the European Union or the European Education and Culture Executive Agency. Neither the European Union </w:t>
    </w:r>
    <w:r w:rsidRPr="00F55528">
      <w:rPr>
        <w:rFonts w:ascii="Tw Cen MT" w:hAnsi="Tw Cen MT" w:cs="Segoe UI"/>
        <w:color w:val="000000"/>
        <w:sz w:val="14"/>
        <w:szCs w:val="14"/>
        <w:lang w:val="en-US"/>
      </w:rPr>
      <w:t> </w:t>
    </w:r>
  </w:p>
  <w:p w14:paraId="01E7F55D" w14:textId="242FC7BF" w:rsidR="49147C0F" w:rsidRDefault="00773C51" w:rsidP="005F2301">
    <w:pPr>
      <w:pStyle w:val="Footer"/>
    </w:pPr>
    <w:r w:rsidRPr="00F55528"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nor the granting authority can be held responsible for them</w:t>
    </w:r>
    <w:r w:rsidR="005F2301"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3DECF" w14:textId="77777777" w:rsidR="008A0FAC" w:rsidRDefault="008A0FAC">
      <w:pPr>
        <w:spacing w:after="0" w:line="240" w:lineRule="auto"/>
      </w:pPr>
      <w:r>
        <w:separator/>
      </w:r>
    </w:p>
  </w:footnote>
  <w:footnote w:type="continuationSeparator" w:id="0">
    <w:p w14:paraId="3EEB59D3" w14:textId="77777777" w:rsidR="008A0FAC" w:rsidRDefault="008A0FAC">
      <w:pPr>
        <w:spacing w:after="0" w:line="240" w:lineRule="auto"/>
      </w:pPr>
      <w:r>
        <w:continuationSeparator/>
      </w:r>
    </w:p>
  </w:footnote>
  <w:footnote w:type="continuationNotice" w:id="1">
    <w:p w14:paraId="24AEB443" w14:textId="77777777" w:rsidR="008A0FAC" w:rsidRDefault="008A0FAC">
      <w:pPr>
        <w:spacing w:after="0" w:line="240" w:lineRule="auto"/>
      </w:pPr>
    </w:p>
  </w:footnote>
  <w:footnote w:id="2">
    <w:p w14:paraId="0E2CD14C" w14:textId="5CD8E06E" w:rsidR="003C6B3E" w:rsidRDefault="003C6B3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C6B3E">
        <w:rPr>
          <w:lang w:val="en-US"/>
        </w:rPr>
        <w:t>Annex I. Glossary of t</w:t>
      </w:r>
      <w:r>
        <w:rPr>
          <w:lang w:val="en-US"/>
        </w:rPr>
        <w:t>erms</w:t>
      </w:r>
    </w:p>
    <w:p w14:paraId="76244818" w14:textId="2BB8DC30" w:rsidR="003C6B3E" w:rsidRDefault="003C6B3E">
      <w:pPr>
        <w:pStyle w:val="FootnoteText"/>
        <w:rPr>
          <w:lang w:val="en-US"/>
        </w:rPr>
      </w:pPr>
      <w:r>
        <w:rPr>
          <w:lang w:val="en-US"/>
        </w:rPr>
        <w:t>Annex II. Overview of minimum expected outputs</w:t>
      </w:r>
    </w:p>
    <w:p w14:paraId="58A7291C" w14:textId="35CCB45F" w:rsidR="003C6B3E" w:rsidRDefault="003C6B3E">
      <w:pPr>
        <w:pStyle w:val="FootnoteText"/>
        <w:rPr>
          <w:lang w:val="en-US"/>
        </w:rPr>
      </w:pPr>
      <w:r>
        <w:rPr>
          <w:lang w:val="en-US"/>
        </w:rPr>
        <w:t xml:space="preserve">Annex III. </w:t>
      </w:r>
      <w:r w:rsidR="002D37DF">
        <w:rPr>
          <w:lang w:val="en-US"/>
        </w:rPr>
        <w:t xml:space="preserve">Principles to align the envisaged ENLIGHT joint study </w:t>
      </w:r>
      <w:proofErr w:type="spellStart"/>
      <w:r w:rsidR="002D37DF">
        <w:rPr>
          <w:lang w:val="en-US"/>
        </w:rPr>
        <w:t>programme</w:t>
      </w:r>
      <w:proofErr w:type="spellEnd"/>
      <w:r w:rsidR="002D37DF">
        <w:rPr>
          <w:lang w:val="en-US"/>
        </w:rPr>
        <w:t xml:space="preserve"> with (upon further development)</w:t>
      </w:r>
    </w:p>
    <w:p w14:paraId="457C2F05" w14:textId="7554B791" w:rsidR="003C6B3E" w:rsidRPr="003C6B3E" w:rsidRDefault="003C6B3E">
      <w:pPr>
        <w:pStyle w:val="FootnoteText"/>
        <w:rPr>
          <w:lang w:val="en-US"/>
        </w:rPr>
      </w:pPr>
      <w:r>
        <w:rPr>
          <w:lang w:val="en-US"/>
        </w:rPr>
        <w:t xml:space="preserve">Annex IV. </w:t>
      </w:r>
      <w:r w:rsidR="002D37DF">
        <w:rPr>
          <w:lang w:val="en-US"/>
        </w:rPr>
        <w:t xml:space="preserve">European degree (label) initiative and corresponding criteria for joint study </w:t>
      </w:r>
      <w:proofErr w:type="spellStart"/>
      <w:r w:rsidR="002D37DF">
        <w:rPr>
          <w:lang w:val="en-US"/>
        </w:rPr>
        <w:t>programmes</w:t>
      </w:r>
      <w:proofErr w:type="spellEnd"/>
      <w:r w:rsidR="002D37DF">
        <w:rPr>
          <w:lang w:val="en-US"/>
        </w:rPr>
        <w:t xml:space="preserve"> </w:t>
      </w:r>
    </w:p>
  </w:footnote>
  <w:footnote w:id="3">
    <w:p w14:paraId="6ACACB9C" w14:textId="77777777" w:rsidR="00987BAC" w:rsidRPr="003C6B3E" w:rsidRDefault="00987BAC" w:rsidP="00987BA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12A39">
        <w:t>https://www.eqar.eu/kb/joint-programmes/definitions/</w:t>
      </w:r>
    </w:p>
  </w:footnote>
  <w:footnote w:id="4">
    <w:p w14:paraId="7EC4789A" w14:textId="26FB9CF6" w:rsidR="0088039C" w:rsidRPr="002D7136" w:rsidRDefault="0088039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5B71C6">
        <w:t>Be</w:t>
      </w:r>
      <w:r w:rsidR="00990CE4">
        <w:t xml:space="preserve"> a</w:t>
      </w:r>
      <w:r w:rsidR="005B71C6">
        <w:t>ware that w</w:t>
      </w:r>
      <w:r w:rsidR="00965819">
        <w:t xml:space="preserve">ith a view to potential future </w:t>
      </w:r>
      <w:r w:rsidR="005B71C6">
        <w:t>funding</w:t>
      </w:r>
      <w:r w:rsidR="00250977">
        <w:t xml:space="preserve"> and/or labelling</w:t>
      </w:r>
      <w:r w:rsidR="005B71C6">
        <w:t xml:space="preserve"> </w:t>
      </w:r>
      <w:r w:rsidR="00965819">
        <w:t>applications</w:t>
      </w:r>
      <w:r w:rsidR="005B71C6">
        <w:t xml:space="preserve"> for the implementation of the joint study programme,</w:t>
      </w:r>
      <w:r w:rsidR="00755A76">
        <w:t xml:space="preserve"> </w:t>
      </w:r>
      <w:r w:rsidR="003B5F93">
        <w:t xml:space="preserve">these applications may be bound to specific student mobility conditions, </w:t>
      </w:r>
      <w:r>
        <w:rPr>
          <w:lang w:val="en-GB"/>
        </w:rPr>
        <w:t xml:space="preserve">such as the Erasmus Mundus Action or </w:t>
      </w:r>
      <w:r w:rsidR="005B71C6">
        <w:rPr>
          <w:lang w:val="en-GB"/>
        </w:rPr>
        <w:t>the</w:t>
      </w:r>
      <w:r>
        <w:rPr>
          <w:lang w:val="en-GB"/>
        </w:rPr>
        <w:t xml:space="preserve"> European degree (label</w:t>
      </w:r>
      <w:r w:rsidR="003B5F93">
        <w:rPr>
          <w:lang w:val="en-GB"/>
        </w:rPr>
        <w:t>)</w:t>
      </w:r>
      <w:r>
        <w:rPr>
          <w:lang w:val="en-GB"/>
        </w:rPr>
        <w:t>.</w:t>
      </w:r>
    </w:p>
  </w:footnote>
  <w:footnote w:id="5">
    <w:p w14:paraId="4421D2B5" w14:textId="0766B9E8" w:rsidR="00FD686C" w:rsidRPr="00FD686C" w:rsidRDefault="00FD686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D686C">
        <w:rPr>
          <w:lang w:val="en-GB"/>
        </w:rPr>
        <w:t>Extract from the ENLIGHT1.0 deliverable (D26. ‘Joint programmes: overview of desired learning outcomes</w:t>
      </w:r>
      <w:r w:rsidR="00E04DF9">
        <w:rPr>
          <w:lang w:val="en-GB"/>
        </w:rPr>
        <w:t>’)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8206D2" w14:paraId="258CBB1A" w14:textId="77777777" w:rsidTr="5D8206D2">
      <w:trPr>
        <w:trHeight w:val="300"/>
      </w:trPr>
      <w:tc>
        <w:tcPr>
          <w:tcW w:w="3005" w:type="dxa"/>
        </w:tcPr>
        <w:p w14:paraId="1B12FC4B" w14:textId="5A785834" w:rsidR="5D8206D2" w:rsidRDefault="5D8206D2" w:rsidP="5D8206D2">
          <w:pPr>
            <w:ind w:left="-115"/>
          </w:pPr>
          <w:r>
            <w:br/>
          </w:r>
        </w:p>
      </w:tc>
      <w:tc>
        <w:tcPr>
          <w:tcW w:w="3005" w:type="dxa"/>
        </w:tcPr>
        <w:p w14:paraId="20869B2D" w14:textId="0045BA7C" w:rsidR="5D8206D2" w:rsidRDefault="5D8206D2" w:rsidP="5D8206D2">
          <w:pPr>
            <w:pStyle w:val="Header"/>
            <w:jc w:val="center"/>
          </w:pPr>
        </w:p>
      </w:tc>
      <w:tc>
        <w:tcPr>
          <w:tcW w:w="3005" w:type="dxa"/>
        </w:tcPr>
        <w:p w14:paraId="4576480A" w14:textId="0855E2C4" w:rsidR="5D8206D2" w:rsidRDefault="002A5FAE" w:rsidP="5D8206D2">
          <w:pPr>
            <w:pStyle w:val="Header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1E93AEA" wp14:editId="16426D09">
                <wp:simplePos x="0" y="0"/>
                <wp:positionH relativeFrom="column">
                  <wp:posOffset>868045</wp:posOffset>
                </wp:positionH>
                <wp:positionV relativeFrom="paragraph">
                  <wp:posOffset>-30480</wp:posOffset>
                </wp:positionV>
                <wp:extent cx="971550" cy="257175"/>
                <wp:effectExtent l="0" t="0" r="0" b="9525"/>
                <wp:wrapNone/>
                <wp:docPr id="1399430300" name="Picture 1399430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8733D9E" w14:textId="557187EF" w:rsidR="5D8206D2" w:rsidRDefault="5D8206D2" w:rsidP="002A5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7B8F"/>
    <w:multiLevelType w:val="hybridMultilevel"/>
    <w:tmpl w:val="6B18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CBF1"/>
    <w:multiLevelType w:val="hybridMultilevel"/>
    <w:tmpl w:val="710A2EF8"/>
    <w:lvl w:ilvl="0" w:tplc="4CC0B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46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84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85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E0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69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87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4C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0B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FF19D"/>
    <w:multiLevelType w:val="hybridMultilevel"/>
    <w:tmpl w:val="B7D4F7CC"/>
    <w:lvl w:ilvl="0" w:tplc="F334BEAE">
      <w:start w:val="1"/>
      <w:numFmt w:val="decimal"/>
      <w:lvlText w:val="%1."/>
      <w:lvlJc w:val="left"/>
      <w:pPr>
        <w:ind w:left="720" w:hanging="360"/>
      </w:pPr>
    </w:lvl>
    <w:lvl w:ilvl="1" w:tplc="CFCEB378">
      <w:start w:val="1"/>
      <w:numFmt w:val="lowerLetter"/>
      <w:lvlText w:val="%2."/>
      <w:lvlJc w:val="left"/>
      <w:pPr>
        <w:ind w:left="1440" w:hanging="360"/>
      </w:pPr>
    </w:lvl>
    <w:lvl w:ilvl="2" w:tplc="9880E804">
      <w:start w:val="1"/>
      <w:numFmt w:val="lowerRoman"/>
      <w:lvlText w:val="%3."/>
      <w:lvlJc w:val="right"/>
      <w:pPr>
        <w:ind w:left="2160" w:hanging="180"/>
      </w:pPr>
    </w:lvl>
    <w:lvl w:ilvl="3" w:tplc="7A301860">
      <w:start w:val="1"/>
      <w:numFmt w:val="decimal"/>
      <w:lvlText w:val="%4."/>
      <w:lvlJc w:val="left"/>
      <w:pPr>
        <w:ind w:left="2880" w:hanging="360"/>
      </w:pPr>
    </w:lvl>
    <w:lvl w:ilvl="4" w:tplc="8D7E957C">
      <w:start w:val="1"/>
      <w:numFmt w:val="lowerLetter"/>
      <w:lvlText w:val="%5."/>
      <w:lvlJc w:val="left"/>
      <w:pPr>
        <w:ind w:left="3600" w:hanging="360"/>
      </w:pPr>
    </w:lvl>
    <w:lvl w:ilvl="5" w:tplc="1CD6C670">
      <w:start w:val="1"/>
      <w:numFmt w:val="lowerRoman"/>
      <w:lvlText w:val="%6."/>
      <w:lvlJc w:val="right"/>
      <w:pPr>
        <w:ind w:left="4320" w:hanging="180"/>
      </w:pPr>
    </w:lvl>
    <w:lvl w:ilvl="6" w:tplc="4AEA8AC2">
      <w:start w:val="1"/>
      <w:numFmt w:val="decimal"/>
      <w:lvlText w:val="%7."/>
      <w:lvlJc w:val="left"/>
      <w:pPr>
        <w:ind w:left="5040" w:hanging="360"/>
      </w:pPr>
    </w:lvl>
    <w:lvl w:ilvl="7" w:tplc="CA70ACCE">
      <w:start w:val="1"/>
      <w:numFmt w:val="lowerLetter"/>
      <w:lvlText w:val="%8."/>
      <w:lvlJc w:val="left"/>
      <w:pPr>
        <w:ind w:left="5760" w:hanging="360"/>
      </w:pPr>
    </w:lvl>
    <w:lvl w:ilvl="8" w:tplc="F5D48E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2117"/>
    <w:multiLevelType w:val="hybridMultilevel"/>
    <w:tmpl w:val="343C67B6"/>
    <w:lvl w:ilvl="0" w:tplc="373C5B14">
      <w:start w:val="1"/>
      <w:numFmt w:val="decimal"/>
      <w:lvlText w:val="%1."/>
      <w:lvlJc w:val="left"/>
      <w:pPr>
        <w:ind w:left="720" w:hanging="360"/>
      </w:pPr>
    </w:lvl>
    <w:lvl w:ilvl="1" w:tplc="9190A730">
      <w:start w:val="1"/>
      <w:numFmt w:val="decimal"/>
      <w:lvlText w:val="%2.1."/>
      <w:lvlJc w:val="left"/>
      <w:pPr>
        <w:ind w:left="1440" w:hanging="360"/>
      </w:pPr>
    </w:lvl>
    <w:lvl w:ilvl="2" w:tplc="54023AE4">
      <w:start w:val="1"/>
      <w:numFmt w:val="lowerRoman"/>
      <w:lvlText w:val="%3."/>
      <w:lvlJc w:val="right"/>
      <w:pPr>
        <w:ind w:left="2160" w:hanging="180"/>
      </w:pPr>
    </w:lvl>
    <w:lvl w:ilvl="3" w:tplc="D0F84D5E">
      <w:start w:val="1"/>
      <w:numFmt w:val="decimal"/>
      <w:lvlText w:val="%4."/>
      <w:lvlJc w:val="left"/>
      <w:pPr>
        <w:ind w:left="2880" w:hanging="360"/>
      </w:pPr>
    </w:lvl>
    <w:lvl w:ilvl="4" w:tplc="9894E9F8">
      <w:start w:val="1"/>
      <w:numFmt w:val="lowerLetter"/>
      <w:lvlText w:val="%5."/>
      <w:lvlJc w:val="left"/>
      <w:pPr>
        <w:ind w:left="3600" w:hanging="360"/>
      </w:pPr>
    </w:lvl>
    <w:lvl w:ilvl="5" w:tplc="7966E532">
      <w:start w:val="1"/>
      <w:numFmt w:val="lowerRoman"/>
      <w:lvlText w:val="%6."/>
      <w:lvlJc w:val="right"/>
      <w:pPr>
        <w:ind w:left="4320" w:hanging="180"/>
      </w:pPr>
    </w:lvl>
    <w:lvl w:ilvl="6" w:tplc="579EAD9E">
      <w:start w:val="1"/>
      <w:numFmt w:val="decimal"/>
      <w:lvlText w:val="%7."/>
      <w:lvlJc w:val="left"/>
      <w:pPr>
        <w:ind w:left="5040" w:hanging="360"/>
      </w:pPr>
    </w:lvl>
    <w:lvl w:ilvl="7" w:tplc="F8B8432C">
      <w:start w:val="1"/>
      <w:numFmt w:val="lowerLetter"/>
      <w:lvlText w:val="%8."/>
      <w:lvlJc w:val="left"/>
      <w:pPr>
        <w:ind w:left="5760" w:hanging="360"/>
      </w:pPr>
    </w:lvl>
    <w:lvl w:ilvl="8" w:tplc="4FC245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2C7F0"/>
    <w:multiLevelType w:val="hybridMultilevel"/>
    <w:tmpl w:val="6D70FB76"/>
    <w:lvl w:ilvl="0" w:tplc="6AD0298C">
      <w:start w:val="3"/>
      <w:numFmt w:val="decimal"/>
      <w:lvlText w:val="%1."/>
      <w:lvlJc w:val="left"/>
      <w:pPr>
        <w:ind w:left="720" w:hanging="360"/>
      </w:pPr>
    </w:lvl>
    <w:lvl w:ilvl="1" w:tplc="62DC099A">
      <w:start w:val="1"/>
      <w:numFmt w:val="lowerLetter"/>
      <w:lvlText w:val="%2."/>
      <w:lvlJc w:val="left"/>
      <w:pPr>
        <w:ind w:left="1440" w:hanging="360"/>
      </w:pPr>
    </w:lvl>
    <w:lvl w:ilvl="2" w:tplc="CBB43AB8">
      <w:start w:val="1"/>
      <w:numFmt w:val="lowerRoman"/>
      <w:lvlText w:val="%3."/>
      <w:lvlJc w:val="right"/>
      <w:pPr>
        <w:ind w:left="2160" w:hanging="180"/>
      </w:pPr>
    </w:lvl>
    <w:lvl w:ilvl="3" w:tplc="0C766476">
      <w:start w:val="1"/>
      <w:numFmt w:val="decimal"/>
      <w:lvlText w:val="%4."/>
      <w:lvlJc w:val="left"/>
      <w:pPr>
        <w:ind w:left="2880" w:hanging="360"/>
      </w:pPr>
    </w:lvl>
    <w:lvl w:ilvl="4" w:tplc="658C14D8">
      <w:start w:val="1"/>
      <w:numFmt w:val="lowerLetter"/>
      <w:lvlText w:val="%5."/>
      <w:lvlJc w:val="left"/>
      <w:pPr>
        <w:ind w:left="3600" w:hanging="360"/>
      </w:pPr>
    </w:lvl>
    <w:lvl w:ilvl="5" w:tplc="17021B42">
      <w:start w:val="1"/>
      <w:numFmt w:val="lowerRoman"/>
      <w:lvlText w:val="%6."/>
      <w:lvlJc w:val="right"/>
      <w:pPr>
        <w:ind w:left="4320" w:hanging="180"/>
      </w:pPr>
    </w:lvl>
    <w:lvl w:ilvl="6" w:tplc="1EE22C2A">
      <w:start w:val="1"/>
      <w:numFmt w:val="decimal"/>
      <w:lvlText w:val="%7."/>
      <w:lvlJc w:val="left"/>
      <w:pPr>
        <w:ind w:left="5040" w:hanging="360"/>
      </w:pPr>
    </w:lvl>
    <w:lvl w:ilvl="7" w:tplc="C504E7A0">
      <w:start w:val="1"/>
      <w:numFmt w:val="lowerLetter"/>
      <w:lvlText w:val="%8."/>
      <w:lvlJc w:val="left"/>
      <w:pPr>
        <w:ind w:left="5760" w:hanging="360"/>
      </w:pPr>
    </w:lvl>
    <w:lvl w:ilvl="8" w:tplc="AAB436B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66B89"/>
    <w:multiLevelType w:val="hybridMultilevel"/>
    <w:tmpl w:val="B908FE40"/>
    <w:lvl w:ilvl="0" w:tplc="7AFC84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64FE9"/>
    <w:multiLevelType w:val="hybridMultilevel"/>
    <w:tmpl w:val="F42CCBAA"/>
    <w:lvl w:ilvl="0" w:tplc="8AB000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3D11C"/>
    <w:multiLevelType w:val="hybridMultilevel"/>
    <w:tmpl w:val="F760BA26"/>
    <w:lvl w:ilvl="0" w:tplc="D4B25A24">
      <w:start w:val="2"/>
      <w:numFmt w:val="decimal"/>
      <w:lvlText w:val="%1."/>
      <w:lvlJc w:val="left"/>
      <w:pPr>
        <w:ind w:left="720" w:hanging="360"/>
      </w:pPr>
    </w:lvl>
    <w:lvl w:ilvl="1" w:tplc="AB36E946">
      <w:start w:val="1"/>
      <w:numFmt w:val="lowerLetter"/>
      <w:lvlText w:val="%2."/>
      <w:lvlJc w:val="left"/>
      <w:pPr>
        <w:ind w:left="1440" w:hanging="360"/>
      </w:pPr>
    </w:lvl>
    <w:lvl w:ilvl="2" w:tplc="CA2A2780">
      <w:start w:val="1"/>
      <w:numFmt w:val="lowerRoman"/>
      <w:lvlText w:val="%3."/>
      <w:lvlJc w:val="right"/>
      <w:pPr>
        <w:ind w:left="2160" w:hanging="180"/>
      </w:pPr>
    </w:lvl>
    <w:lvl w:ilvl="3" w:tplc="DAA6D1FC">
      <w:start w:val="1"/>
      <w:numFmt w:val="decimal"/>
      <w:lvlText w:val="%4."/>
      <w:lvlJc w:val="left"/>
      <w:pPr>
        <w:ind w:left="2880" w:hanging="360"/>
      </w:pPr>
    </w:lvl>
    <w:lvl w:ilvl="4" w:tplc="452868E4">
      <w:start w:val="1"/>
      <w:numFmt w:val="lowerLetter"/>
      <w:lvlText w:val="%5."/>
      <w:lvlJc w:val="left"/>
      <w:pPr>
        <w:ind w:left="3600" w:hanging="360"/>
      </w:pPr>
    </w:lvl>
    <w:lvl w:ilvl="5" w:tplc="5EF67B18">
      <w:start w:val="1"/>
      <w:numFmt w:val="lowerRoman"/>
      <w:lvlText w:val="%6."/>
      <w:lvlJc w:val="right"/>
      <w:pPr>
        <w:ind w:left="4320" w:hanging="180"/>
      </w:pPr>
    </w:lvl>
    <w:lvl w:ilvl="6" w:tplc="D64468E4">
      <w:start w:val="1"/>
      <w:numFmt w:val="decimal"/>
      <w:lvlText w:val="%7."/>
      <w:lvlJc w:val="left"/>
      <w:pPr>
        <w:ind w:left="5040" w:hanging="360"/>
      </w:pPr>
    </w:lvl>
    <w:lvl w:ilvl="7" w:tplc="693C7EA6">
      <w:start w:val="1"/>
      <w:numFmt w:val="lowerLetter"/>
      <w:lvlText w:val="%8."/>
      <w:lvlJc w:val="left"/>
      <w:pPr>
        <w:ind w:left="5760" w:hanging="360"/>
      </w:pPr>
    </w:lvl>
    <w:lvl w:ilvl="8" w:tplc="0A2472D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642E2"/>
    <w:multiLevelType w:val="hybridMultilevel"/>
    <w:tmpl w:val="37262DE4"/>
    <w:lvl w:ilvl="0" w:tplc="29FAC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824C2"/>
    <w:multiLevelType w:val="hybridMultilevel"/>
    <w:tmpl w:val="2C2A9E60"/>
    <w:lvl w:ilvl="0" w:tplc="784A19F4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E01BB"/>
    <w:multiLevelType w:val="hybridMultilevel"/>
    <w:tmpl w:val="6F8479AC"/>
    <w:lvl w:ilvl="0" w:tplc="61A6A172">
      <w:start w:val="4"/>
      <w:numFmt w:val="decimal"/>
      <w:lvlText w:val="%1."/>
      <w:lvlJc w:val="left"/>
      <w:pPr>
        <w:ind w:left="720" w:hanging="360"/>
      </w:pPr>
    </w:lvl>
    <w:lvl w:ilvl="1" w:tplc="FCB682B0">
      <w:start w:val="1"/>
      <w:numFmt w:val="lowerLetter"/>
      <w:lvlText w:val="%2."/>
      <w:lvlJc w:val="left"/>
      <w:pPr>
        <w:ind w:left="1440" w:hanging="360"/>
      </w:pPr>
    </w:lvl>
    <w:lvl w:ilvl="2" w:tplc="08481028">
      <w:start w:val="1"/>
      <w:numFmt w:val="lowerRoman"/>
      <w:lvlText w:val="%3."/>
      <w:lvlJc w:val="right"/>
      <w:pPr>
        <w:ind w:left="2160" w:hanging="180"/>
      </w:pPr>
    </w:lvl>
    <w:lvl w:ilvl="3" w:tplc="19BC7F74">
      <w:start w:val="1"/>
      <w:numFmt w:val="decimal"/>
      <w:lvlText w:val="%4."/>
      <w:lvlJc w:val="left"/>
      <w:pPr>
        <w:ind w:left="2880" w:hanging="360"/>
      </w:pPr>
    </w:lvl>
    <w:lvl w:ilvl="4" w:tplc="1C8A2716">
      <w:start w:val="1"/>
      <w:numFmt w:val="lowerLetter"/>
      <w:lvlText w:val="%5."/>
      <w:lvlJc w:val="left"/>
      <w:pPr>
        <w:ind w:left="3600" w:hanging="360"/>
      </w:pPr>
    </w:lvl>
    <w:lvl w:ilvl="5" w:tplc="FDE01AAC">
      <w:start w:val="1"/>
      <w:numFmt w:val="lowerRoman"/>
      <w:lvlText w:val="%6."/>
      <w:lvlJc w:val="right"/>
      <w:pPr>
        <w:ind w:left="4320" w:hanging="180"/>
      </w:pPr>
    </w:lvl>
    <w:lvl w:ilvl="6" w:tplc="A2EEFC38">
      <w:start w:val="1"/>
      <w:numFmt w:val="decimal"/>
      <w:lvlText w:val="%7."/>
      <w:lvlJc w:val="left"/>
      <w:pPr>
        <w:ind w:left="5040" w:hanging="360"/>
      </w:pPr>
    </w:lvl>
    <w:lvl w:ilvl="7" w:tplc="BD5AD4E2">
      <w:start w:val="1"/>
      <w:numFmt w:val="lowerLetter"/>
      <w:lvlText w:val="%8."/>
      <w:lvlJc w:val="left"/>
      <w:pPr>
        <w:ind w:left="5760" w:hanging="360"/>
      </w:pPr>
    </w:lvl>
    <w:lvl w:ilvl="8" w:tplc="7CFA23E6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761694">
    <w:abstractNumId w:val="3"/>
  </w:num>
  <w:num w:numId="2" w16cid:durableId="716050879">
    <w:abstractNumId w:val="1"/>
  </w:num>
  <w:num w:numId="3" w16cid:durableId="1719627153">
    <w:abstractNumId w:val="10"/>
  </w:num>
  <w:num w:numId="4" w16cid:durableId="1331787332">
    <w:abstractNumId w:val="4"/>
  </w:num>
  <w:num w:numId="5" w16cid:durableId="1945720633">
    <w:abstractNumId w:val="7"/>
  </w:num>
  <w:num w:numId="6" w16cid:durableId="574824386">
    <w:abstractNumId w:val="2"/>
  </w:num>
  <w:num w:numId="7" w16cid:durableId="1982925926">
    <w:abstractNumId w:val="5"/>
  </w:num>
  <w:num w:numId="8" w16cid:durableId="1687826663">
    <w:abstractNumId w:val="6"/>
  </w:num>
  <w:num w:numId="9" w16cid:durableId="1374501048">
    <w:abstractNumId w:val="9"/>
  </w:num>
  <w:num w:numId="10" w16cid:durableId="1649359903">
    <w:abstractNumId w:val="0"/>
  </w:num>
  <w:num w:numId="11" w16cid:durableId="1273317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AC1EC3"/>
    <w:rsid w:val="00001330"/>
    <w:rsid w:val="00002DF9"/>
    <w:rsid w:val="00014935"/>
    <w:rsid w:val="00017EEA"/>
    <w:rsid w:val="00021EB8"/>
    <w:rsid w:val="00027486"/>
    <w:rsid w:val="00030600"/>
    <w:rsid w:val="00046F5A"/>
    <w:rsid w:val="0005172D"/>
    <w:rsid w:val="00053C08"/>
    <w:rsid w:val="000556F2"/>
    <w:rsid w:val="00057A9B"/>
    <w:rsid w:val="00066DAA"/>
    <w:rsid w:val="00082DDA"/>
    <w:rsid w:val="00084B76"/>
    <w:rsid w:val="00093907"/>
    <w:rsid w:val="000976D8"/>
    <w:rsid w:val="00097C77"/>
    <w:rsid w:val="000A1E45"/>
    <w:rsid w:val="000A4A3E"/>
    <w:rsid w:val="000A5EE6"/>
    <w:rsid w:val="000C27F8"/>
    <w:rsid w:val="000C6395"/>
    <w:rsid w:val="000C6652"/>
    <w:rsid w:val="000D67AE"/>
    <w:rsid w:val="000F1E7A"/>
    <w:rsid w:val="000F2BD9"/>
    <w:rsid w:val="00103D84"/>
    <w:rsid w:val="00105A56"/>
    <w:rsid w:val="00110028"/>
    <w:rsid w:val="00110276"/>
    <w:rsid w:val="00120F98"/>
    <w:rsid w:val="001215CB"/>
    <w:rsid w:val="0013502C"/>
    <w:rsid w:val="001411E0"/>
    <w:rsid w:val="00154797"/>
    <w:rsid w:val="00164707"/>
    <w:rsid w:val="00164938"/>
    <w:rsid w:val="0017621D"/>
    <w:rsid w:val="001766C0"/>
    <w:rsid w:val="0018588E"/>
    <w:rsid w:val="00186B34"/>
    <w:rsid w:val="001A321C"/>
    <w:rsid w:val="001A7704"/>
    <w:rsid w:val="001B1E5C"/>
    <w:rsid w:val="001B253C"/>
    <w:rsid w:val="001B7DDA"/>
    <w:rsid w:val="001D2B56"/>
    <w:rsid w:val="001D5A7A"/>
    <w:rsid w:val="001D72A2"/>
    <w:rsid w:val="001E3914"/>
    <w:rsid w:val="001F2A4B"/>
    <w:rsid w:val="001F3149"/>
    <w:rsid w:val="002001F0"/>
    <w:rsid w:val="00203EC8"/>
    <w:rsid w:val="0020482A"/>
    <w:rsid w:val="00212A48"/>
    <w:rsid w:val="0021553D"/>
    <w:rsid w:val="002164E4"/>
    <w:rsid w:val="00234FA8"/>
    <w:rsid w:val="00237818"/>
    <w:rsid w:val="00250977"/>
    <w:rsid w:val="002578C6"/>
    <w:rsid w:val="00265BCD"/>
    <w:rsid w:val="00267A17"/>
    <w:rsid w:val="0027099B"/>
    <w:rsid w:val="00271817"/>
    <w:rsid w:val="0027715E"/>
    <w:rsid w:val="002A2E78"/>
    <w:rsid w:val="002A5FAE"/>
    <w:rsid w:val="002B11AE"/>
    <w:rsid w:val="002B1690"/>
    <w:rsid w:val="002B448F"/>
    <w:rsid w:val="002C49DA"/>
    <w:rsid w:val="002C71F5"/>
    <w:rsid w:val="002D0263"/>
    <w:rsid w:val="002D0F9B"/>
    <w:rsid w:val="002D37DF"/>
    <w:rsid w:val="002D57FC"/>
    <w:rsid w:val="002D66F8"/>
    <w:rsid w:val="002D7136"/>
    <w:rsid w:val="002F477E"/>
    <w:rsid w:val="002F66AC"/>
    <w:rsid w:val="002F6BBF"/>
    <w:rsid w:val="00301153"/>
    <w:rsid w:val="00306F1D"/>
    <w:rsid w:val="00315B40"/>
    <w:rsid w:val="00316BC3"/>
    <w:rsid w:val="00331E07"/>
    <w:rsid w:val="00345966"/>
    <w:rsid w:val="00365CBB"/>
    <w:rsid w:val="00373F28"/>
    <w:rsid w:val="003755B3"/>
    <w:rsid w:val="00386DF9"/>
    <w:rsid w:val="00394257"/>
    <w:rsid w:val="003A10BE"/>
    <w:rsid w:val="003A2438"/>
    <w:rsid w:val="003A52CF"/>
    <w:rsid w:val="003A5C2A"/>
    <w:rsid w:val="003B1C73"/>
    <w:rsid w:val="003B2E43"/>
    <w:rsid w:val="003B5F93"/>
    <w:rsid w:val="003C322E"/>
    <w:rsid w:val="003C5E86"/>
    <w:rsid w:val="003C6B3E"/>
    <w:rsid w:val="003D3A91"/>
    <w:rsid w:val="003E1E6F"/>
    <w:rsid w:val="003F1CB4"/>
    <w:rsid w:val="003F391B"/>
    <w:rsid w:val="0040279C"/>
    <w:rsid w:val="00415683"/>
    <w:rsid w:val="00415F59"/>
    <w:rsid w:val="00432607"/>
    <w:rsid w:val="0045080D"/>
    <w:rsid w:val="004544B8"/>
    <w:rsid w:val="0045651D"/>
    <w:rsid w:val="0046535D"/>
    <w:rsid w:val="00467331"/>
    <w:rsid w:val="00481563"/>
    <w:rsid w:val="004824D6"/>
    <w:rsid w:val="0048613A"/>
    <w:rsid w:val="00487F63"/>
    <w:rsid w:val="004957DF"/>
    <w:rsid w:val="004A204D"/>
    <w:rsid w:val="004A4D25"/>
    <w:rsid w:val="004B0955"/>
    <w:rsid w:val="004B4A87"/>
    <w:rsid w:val="004B6A9E"/>
    <w:rsid w:val="004E4EE7"/>
    <w:rsid w:val="004F135B"/>
    <w:rsid w:val="004F3F5C"/>
    <w:rsid w:val="004F7235"/>
    <w:rsid w:val="005017AB"/>
    <w:rsid w:val="0051155D"/>
    <w:rsid w:val="005139C7"/>
    <w:rsid w:val="00523F11"/>
    <w:rsid w:val="00530544"/>
    <w:rsid w:val="00531B74"/>
    <w:rsid w:val="00532F0E"/>
    <w:rsid w:val="0054498A"/>
    <w:rsid w:val="005542B8"/>
    <w:rsid w:val="005708E5"/>
    <w:rsid w:val="0058161F"/>
    <w:rsid w:val="0058362D"/>
    <w:rsid w:val="00594E47"/>
    <w:rsid w:val="00596212"/>
    <w:rsid w:val="005A198D"/>
    <w:rsid w:val="005A3DC4"/>
    <w:rsid w:val="005B0C07"/>
    <w:rsid w:val="005B2171"/>
    <w:rsid w:val="005B40EB"/>
    <w:rsid w:val="005B4FBA"/>
    <w:rsid w:val="005B6239"/>
    <w:rsid w:val="005B71C6"/>
    <w:rsid w:val="005B7EE7"/>
    <w:rsid w:val="005D31C2"/>
    <w:rsid w:val="005D39EB"/>
    <w:rsid w:val="005E4E95"/>
    <w:rsid w:val="005E637F"/>
    <w:rsid w:val="005F047F"/>
    <w:rsid w:val="005F2301"/>
    <w:rsid w:val="00600A7D"/>
    <w:rsid w:val="0060245D"/>
    <w:rsid w:val="00625D97"/>
    <w:rsid w:val="00631C04"/>
    <w:rsid w:val="006335EE"/>
    <w:rsid w:val="0065687F"/>
    <w:rsid w:val="00661FDB"/>
    <w:rsid w:val="00680F9A"/>
    <w:rsid w:val="00687FBC"/>
    <w:rsid w:val="006A1CD2"/>
    <w:rsid w:val="006C25FF"/>
    <w:rsid w:val="006C52AA"/>
    <w:rsid w:val="006C60C6"/>
    <w:rsid w:val="006D031C"/>
    <w:rsid w:val="006E030F"/>
    <w:rsid w:val="006E1E66"/>
    <w:rsid w:val="006F132D"/>
    <w:rsid w:val="006F5968"/>
    <w:rsid w:val="007147E6"/>
    <w:rsid w:val="007166BA"/>
    <w:rsid w:val="00736489"/>
    <w:rsid w:val="00745A56"/>
    <w:rsid w:val="00750EF2"/>
    <w:rsid w:val="00755A76"/>
    <w:rsid w:val="0076428D"/>
    <w:rsid w:val="00773C51"/>
    <w:rsid w:val="00776870"/>
    <w:rsid w:val="00786A0B"/>
    <w:rsid w:val="007923B3"/>
    <w:rsid w:val="007A7577"/>
    <w:rsid w:val="007A7DED"/>
    <w:rsid w:val="007B4028"/>
    <w:rsid w:val="007C07A9"/>
    <w:rsid w:val="007C60C1"/>
    <w:rsid w:val="007C6D97"/>
    <w:rsid w:val="007D0B13"/>
    <w:rsid w:val="007D2F3D"/>
    <w:rsid w:val="007E033B"/>
    <w:rsid w:val="007E036D"/>
    <w:rsid w:val="00806D39"/>
    <w:rsid w:val="00815DA1"/>
    <w:rsid w:val="0081620E"/>
    <w:rsid w:val="008200AA"/>
    <w:rsid w:val="00820B69"/>
    <w:rsid w:val="00822172"/>
    <w:rsid w:val="00826900"/>
    <w:rsid w:val="00832A2A"/>
    <w:rsid w:val="00832F37"/>
    <w:rsid w:val="00837C59"/>
    <w:rsid w:val="008419A9"/>
    <w:rsid w:val="008513FC"/>
    <w:rsid w:val="008553F8"/>
    <w:rsid w:val="008556AE"/>
    <w:rsid w:val="00861209"/>
    <w:rsid w:val="00863E11"/>
    <w:rsid w:val="008734D9"/>
    <w:rsid w:val="0088039C"/>
    <w:rsid w:val="0088066D"/>
    <w:rsid w:val="00884AF3"/>
    <w:rsid w:val="008A0EA4"/>
    <w:rsid w:val="008A0FAC"/>
    <w:rsid w:val="008A3322"/>
    <w:rsid w:val="008A7CC9"/>
    <w:rsid w:val="008B10B9"/>
    <w:rsid w:val="008B1CB9"/>
    <w:rsid w:val="008C325F"/>
    <w:rsid w:val="008C50D4"/>
    <w:rsid w:val="008C55C8"/>
    <w:rsid w:val="008C75B1"/>
    <w:rsid w:val="008D23D6"/>
    <w:rsid w:val="008E6215"/>
    <w:rsid w:val="008E6610"/>
    <w:rsid w:val="00912A39"/>
    <w:rsid w:val="009203EC"/>
    <w:rsid w:val="0092107A"/>
    <w:rsid w:val="009225FC"/>
    <w:rsid w:val="009258E8"/>
    <w:rsid w:val="00927A8E"/>
    <w:rsid w:val="00930010"/>
    <w:rsid w:val="00933E80"/>
    <w:rsid w:val="00950783"/>
    <w:rsid w:val="00964F8B"/>
    <w:rsid w:val="00965819"/>
    <w:rsid w:val="00976C0D"/>
    <w:rsid w:val="00987BAC"/>
    <w:rsid w:val="0099009C"/>
    <w:rsid w:val="00990CE4"/>
    <w:rsid w:val="00997725"/>
    <w:rsid w:val="00997916"/>
    <w:rsid w:val="009B3B7D"/>
    <w:rsid w:val="009B5C52"/>
    <w:rsid w:val="009C1313"/>
    <w:rsid w:val="009C5A0A"/>
    <w:rsid w:val="009D36C8"/>
    <w:rsid w:val="009E23A0"/>
    <w:rsid w:val="009E2855"/>
    <w:rsid w:val="009E7BBE"/>
    <w:rsid w:val="00A149BD"/>
    <w:rsid w:val="00A16FAD"/>
    <w:rsid w:val="00A17ED8"/>
    <w:rsid w:val="00A5042D"/>
    <w:rsid w:val="00A6499F"/>
    <w:rsid w:val="00A842D3"/>
    <w:rsid w:val="00A92FFD"/>
    <w:rsid w:val="00A94DE0"/>
    <w:rsid w:val="00A962D4"/>
    <w:rsid w:val="00AA19AD"/>
    <w:rsid w:val="00AB37E8"/>
    <w:rsid w:val="00AB55CB"/>
    <w:rsid w:val="00AC5E4E"/>
    <w:rsid w:val="00AC7EAE"/>
    <w:rsid w:val="00AD642C"/>
    <w:rsid w:val="00AE0BB9"/>
    <w:rsid w:val="00AE0CEC"/>
    <w:rsid w:val="00AE6FDA"/>
    <w:rsid w:val="00AE702B"/>
    <w:rsid w:val="00AF059D"/>
    <w:rsid w:val="00B077C5"/>
    <w:rsid w:val="00B13C0E"/>
    <w:rsid w:val="00B150E4"/>
    <w:rsid w:val="00B169B2"/>
    <w:rsid w:val="00B22580"/>
    <w:rsid w:val="00B30154"/>
    <w:rsid w:val="00B317A0"/>
    <w:rsid w:val="00B33C74"/>
    <w:rsid w:val="00B34FFC"/>
    <w:rsid w:val="00B45856"/>
    <w:rsid w:val="00B47118"/>
    <w:rsid w:val="00B5229C"/>
    <w:rsid w:val="00B6201F"/>
    <w:rsid w:val="00B63EFE"/>
    <w:rsid w:val="00B64107"/>
    <w:rsid w:val="00B7729E"/>
    <w:rsid w:val="00BA4092"/>
    <w:rsid w:val="00BB2F31"/>
    <w:rsid w:val="00BB5693"/>
    <w:rsid w:val="00BB7D70"/>
    <w:rsid w:val="00BC46DA"/>
    <w:rsid w:val="00BC67F7"/>
    <w:rsid w:val="00BD1184"/>
    <w:rsid w:val="00BD4F71"/>
    <w:rsid w:val="00BD6775"/>
    <w:rsid w:val="00BD6DEF"/>
    <w:rsid w:val="00BE75DD"/>
    <w:rsid w:val="00BF3937"/>
    <w:rsid w:val="00BF769B"/>
    <w:rsid w:val="00C0257D"/>
    <w:rsid w:val="00C04BDF"/>
    <w:rsid w:val="00C111C6"/>
    <w:rsid w:val="00C11981"/>
    <w:rsid w:val="00C12D36"/>
    <w:rsid w:val="00C17DDA"/>
    <w:rsid w:val="00C21E8B"/>
    <w:rsid w:val="00C239B4"/>
    <w:rsid w:val="00C275E4"/>
    <w:rsid w:val="00C31784"/>
    <w:rsid w:val="00C31CFC"/>
    <w:rsid w:val="00C321FE"/>
    <w:rsid w:val="00C5479B"/>
    <w:rsid w:val="00C5785A"/>
    <w:rsid w:val="00C63E5E"/>
    <w:rsid w:val="00C64B25"/>
    <w:rsid w:val="00C6791B"/>
    <w:rsid w:val="00C70D6D"/>
    <w:rsid w:val="00C74CC3"/>
    <w:rsid w:val="00C77104"/>
    <w:rsid w:val="00C8531A"/>
    <w:rsid w:val="00C9503D"/>
    <w:rsid w:val="00CA1551"/>
    <w:rsid w:val="00CBE547"/>
    <w:rsid w:val="00CC2F44"/>
    <w:rsid w:val="00CC323F"/>
    <w:rsid w:val="00CE0D5A"/>
    <w:rsid w:val="00CF0B51"/>
    <w:rsid w:val="00CF30BF"/>
    <w:rsid w:val="00CF36DE"/>
    <w:rsid w:val="00D03DCD"/>
    <w:rsid w:val="00D21FDA"/>
    <w:rsid w:val="00D33409"/>
    <w:rsid w:val="00D408CC"/>
    <w:rsid w:val="00D4577E"/>
    <w:rsid w:val="00D621BB"/>
    <w:rsid w:val="00D7233A"/>
    <w:rsid w:val="00D73ABF"/>
    <w:rsid w:val="00D8548E"/>
    <w:rsid w:val="00D97B65"/>
    <w:rsid w:val="00DA5799"/>
    <w:rsid w:val="00DA6283"/>
    <w:rsid w:val="00DB40B7"/>
    <w:rsid w:val="00DC46B3"/>
    <w:rsid w:val="00DE1813"/>
    <w:rsid w:val="00DE311C"/>
    <w:rsid w:val="00DE6EBB"/>
    <w:rsid w:val="00DF027E"/>
    <w:rsid w:val="00DF0548"/>
    <w:rsid w:val="00DF5634"/>
    <w:rsid w:val="00DF5AE8"/>
    <w:rsid w:val="00E04DF9"/>
    <w:rsid w:val="00E17ABB"/>
    <w:rsid w:val="00E22235"/>
    <w:rsid w:val="00E22998"/>
    <w:rsid w:val="00E24B15"/>
    <w:rsid w:val="00E25A7E"/>
    <w:rsid w:val="00E260DD"/>
    <w:rsid w:val="00E323DE"/>
    <w:rsid w:val="00E3329E"/>
    <w:rsid w:val="00E413E4"/>
    <w:rsid w:val="00E54ED0"/>
    <w:rsid w:val="00E943BB"/>
    <w:rsid w:val="00E951BD"/>
    <w:rsid w:val="00EA4928"/>
    <w:rsid w:val="00EB1059"/>
    <w:rsid w:val="00EB4F17"/>
    <w:rsid w:val="00EC1BB5"/>
    <w:rsid w:val="00EC373A"/>
    <w:rsid w:val="00EC37E1"/>
    <w:rsid w:val="00ED1AE4"/>
    <w:rsid w:val="00EE018E"/>
    <w:rsid w:val="00EE52D6"/>
    <w:rsid w:val="00EF1A09"/>
    <w:rsid w:val="00EF48F0"/>
    <w:rsid w:val="00EF6B9D"/>
    <w:rsid w:val="00EF7434"/>
    <w:rsid w:val="00F071A4"/>
    <w:rsid w:val="00F13B68"/>
    <w:rsid w:val="00F23790"/>
    <w:rsid w:val="00F2440B"/>
    <w:rsid w:val="00F37B48"/>
    <w:rsid w:val="00F4046F"/>
    <w:rsid w:val="00F430ED"/>
    <w:rsid w:val="00F45A80"/>
    <w:rsid w:val="00F55B93"/>
    <w:rsid w:val="00F56DBC"/>
    <w:rsid w:val="00F75EA0"/>
    <w:rsid w:val="00F7CE33"/>
    <w:rsid w:val="00F917E3"/>
    <w:rsid w:val="00F92033"/>
    <w:rsid w:val="00F94884"/>
    <w:rsid w:val="00FA473B"/>
    <w:rsid w:val="00FB529A"/>
    <w:rsid w:val="00FB6B28"/>
    <w:rsid w:val="00FB78D0"/>
    <w:rsid w:val="00FC3098"/>
    <w:rsid w:val="00FC5CBF"/>
    <w:rsid w:val="00FD6504"/>
    <w:rsid w:val="00FD686C"/>
    <w:rsid w:val="00FD7733"/>
    <w:rsid w:val="00FE7F77"/>
    <w:rsid w:val="011A7942"/>
    <w:rsid w:val="01332A61"/>
    <w:rsid w:val="014A196B"/>
    <w:rsid w:val="0193D5A2"/>
    <w:rsid w:val="01B99B09"/>
    <w:rsid w:val="01CA703E"/>
    <w:rsid w:val="01E9ED72"/>
    <w:rsid w:val="0226ED54"/>
    <w:rsid w:val="028343EE"/>
    <w:rsid w:val="029098D5"/>
    <w:rsid w:val="0295E355"/>
    <w:rsid w:val="02A1EC89"/>
    <w:rsid w:val="02E49D53"/>
    <w:rsid w:val="02EA6F54"/>
    <w:rsid w:val="03F86E2A"/>
    <w:rsid w:val="04016181"/>
    <w:rsid w:val="0453CD57"/>
    <w:rsid w:val="045D1093"/>
    <w:rsid w:val="04B52824"/>
    <w:rsid w:val="04F132F5"/>
    <w:rsid w:val="050C733A"/>
    <w:rsid w:val="0511866A"/>
    <w:rsid w:val="054727D5"/>
    <w:rsid w:val="0559DB93"/>
    <w:rsid w:val="056CE32F"/>
    <w:rsid w:val="058B55E3"/>
    <w:rsid w:val="05E52434"/>
    <w:rsid w:val="0623C479"/>
    <w:rsid w:val="0643B784"/>
    <w:rsid w:val="06793A56"/>
    <w:rsid w:val="0684B2FC"/>
    <w:rsid w:val="06DAA771"/>
    <w:rsid w:val="07700B5E"/>
    <w:rsid w:val="078B6E19"/>
    <w:rsid w:val="07957C7E"/>
    <w:rsid w:val="07C944C3"/>
    <w:rsid w:val="08A8A39B"/>
    <w:rsid w:val="08B82DED"/>
    <w:rsid w:val="08BE4042"/>
    <w:rsid w:val="08E84BF0"/>
    <w:rsid w:val="09786885"/>
    <w:rsid w:val="09B06858"/>
    <w:rsid w:val="09C132F9"/>
    <w:rsid w:val="0A5064E1"/>
    <w:rsid w:val="0A6D5EE5"/>
    <w:rsid w:val="0AA1F431"/>
    <w:rsid w:val="0B0F9769"/>
    <w:rsid w:val="0B6CF5C6"/>
    <w:rsid w:val="0B8084D1"/>
    <w:rsid w:val="0BEC3542"/>
    <w:rsid w:val="0BF02604"/>
    <w:rsid w:val="0C34AA5B"/>
    <w:rsid w:val="0C5E8ACB"/>
    <w:rsid w:val="0C682EA5"/>
    <w:rsid w:val="0C7505DE"/>
    <w:rsid w:val="0C77DE3B"/>
    <w:rsid w:val="0CE1DA80"/>
    <w:rsid w:val="0CF5FBD6"/>
    <w:rsid w:val="0D26ED52"/>
    <w:rsid w:val="0DB6B7E5"/>
    <w:rsid w:val="0DFE591F"/>
    <w:rsid w:val="0DFED9FF"/>
    <w:rsid w:val="0E3E9425"/>
    <w:rsid w:val="0E462CC7"/>
    <w:rsid w:val="0E6FED36"/>
    <w:rsid w:val="0EE40602"/>
    <w:rsid w:val="0F28BEF2"/>
    <w:rsid w:val="0F2A7C57"/>
    <w:rsid w:val="0F325760"/>
    <w:rsid w:val="0F58DA9F"/>
    <w:rsid w:val="0F8B0320"/>
    <w:rsid w:val="0FB45B28"/>
    <w:rsid w:val="0FE136FE"/>
    <w:rsid w:val="10B5143F"/>
    <w:rsid w:val="11700455"/>
    <w:rsid w:val="123D111E"/>
    <w:rsid w:val="12907B61"/>
    <w:rsid w:val="1296E3D3"/>
    <w:rsid w:val="12E1217E"/>
    <w:rsid w:val="13111D0B"/>
    <w:rsid w:val="134B3519"/>
    <w:rsid w:val="1376DB8D"/>
    <w:rsid w:val="13DEB592"/>
    <w:rsid w:val="141F84D2"/>
    <w:rsid w:val="143D2C8A"/>
    <w:rsid w:val="143D3826"/>
    <w:rsid w:val="144AB4BB"/>
    <w:rsid w:val="146F811E"/>
    <w:rsid w:val="148A79F5"/>
    <w:rsid w:val="14BEFFF2"/>
    <w:rsid w:val="14C4C09E"/>
    <w:rsid w:val="14EC9C3D"/>
    <w:rsid w:val="14F4F8C8"/>
    <w:rsid w:val="1514BBA2"/>
    <w:rsid w:val="1546D70C"/>
    <w:rsid w:val="155EE8B1"/>
    <w:rsid w:val="157C165E"/>
    <w:rsid w:val="158AC923"/>
    <w:rsid w:val="158E7D9C"/>
    <w:rsid w:val="1598A583"/>
    <w:rsid w:val="15AC954C"/>
    <w:rsid w:val="15BA9FFF"/>
    <w:rsid w:val="15EA62AB"/>
    <w:rsid w:val="165DA18F"/>
    <w:rsid w:val="16C53B4E"/>
    <w:rsid w:val="16DF18E6"/>
    <w:rsid w:val="16E8AE5C"/>
    <w:rsid w:val="1778B4AE"/>
    <w:rsid w:val="17AC6B08"/>
    <w:rsid w:val="17DE27C6"/>
    <w:rsid w:val="17EB6B58"/>
    <w:rsid w:val="17FF92B1"/>
    <w:rsid w:val="1800309F"/>
    <w:rsid w:val="18325071"/>
    <w:rsid w:val="18AC52A2"/>
    <w:rsid w:val="18F4D9B9"/>
    <w:rsid w:val="1905F502"/>
    <w:rsid w:val="1924A801"/>
    <w:rsid w:val="193888A5"/>
    <w:rsid w:val="1963C073"/>
    <w:rsid w:val="19A09771"/>
    <w:rsid w:val="19A738C0"/>
    <w:rsid w:val="19E7D485"/>
    <w:rsid w:val="1A0FBA09"/>
    <w:rsid w:val="1A449D37"/>
    <w:rsid w:val="1A6C06A7"/>
    <w:rsid w:val="1A75287F"/>
    <w:rsid w:val="1A8117BE"/>
    <w:rsid w:val="1A8EB278"/>
    <w:rsid w:val="1ADF181D"/>
    <w:rsid w:val="1AF06DC4"/>
    <w:rsid w:val="1B57EC13"/>
    <w:rsid w:val="1B67B0E0"/>
    <w:rsid w:val="1B6D8C78"/>
    <w:rsid w:val="1B8CD71B"/>
    <w:rsid w:val="1C0882FC"/>
    <w:rsid w:val="1CB636D1"/>
    <w:rsid w:val="1CBE37F2"/>
    <w:rsid w:val="1CCCE313"/>
    <w:rsid w:val="1CD2DACC"/>
    <w:rsid w:val="1D143DB5"/>
    <w:rsid w:val="1D36753F"/>
    <w:rsid w:val="1D3C842A"/>
    <w:rsid w:val="1D44FEA2"/>
    <w:rsid w:val="1DDFA84D"/>
    <w:rsid w:val="1E7A7B41"/>
    <w:rsid w:val="1EBC1503"/>
    <w:rsid w:val="1EE0CF03"/>
    <w:rsid w:val="1F2944A7"/>
    <w:rsid w:val="1F37009E"/>
    <w:rsid w:val="200AB354"/>
    <w:rsid w:val="2021F0E1"/>
    <w:rsid w:val="206E1601"/>
    <w:rsid w:val="2099D4F9"/>
    <w:rsid w:val="20CCC166"/>
    <w:rsid w:val="2139D825"/>
    <w:rsid w:val="213A4878"/>
    <w:rsid w:val="214165B5"/>
    <w:rsid w:val="217A9994"/>
    <w:rsid w:val="21AAD18B"/>
    <w:rsid w:val="21CC4162"/>
    <w:rsid w:val="21D9281F"/>
    <w:rsid w:val="223A0C8B"/>
    <w:rsid w:val="2240930E"/>
    <w:rsid w:val="22A6B33E"/>
    <w:rsid w:val="22E94CE9"/>
    <w:rsid w:val="23A5B6C3"/>
    <w:rsid w:val="23A87A7F"/>
    <w:rsid w:val="23C30982"/>
    <w:rsid w:val="23DDFCC8"/>
    <w:rsid w:val="23DE18F3"/>
    <w:rsid w:val="24099620"/>
    <w:rsid w:val="24309165"/>
    <w:rsid w:val="24773D4E"/>
    <w:rsid w:val="2484ADED"/>
    <w:rsid w:val="24C99FDF"/>
    <w:rsid w:val="2506BBDF"/>
    <w:rsid w:val="250E170F"/>
    <w:rsid w:val="25418724"/>
    <w:rsid w:val="254F32A3"/>
    <w:rsid w:val="25501087"/>
    <w:rsid w:val="25AECFC5"/>
    <w:rsid w:val="25E2375B"/>
    <w:rsid w:val="25F8F210"/>
    <w:rsid w:val="25FD7425"/>
    <w:rsid w:val="2668CF6E"/>
    <w:rsid w:val="266F4FFC"/>
    <w:rsid w:val="267B3CBB"/>
    <w:rsid w:val="26DD5785"/>
    <w:rsid w:val="26E39104"/>
    <w:rsid w:val="2706A19D"/>
    <w:rsid w:val="274136E2"/>
    <w:rsid w:val="27425125"/>
    <w:rsid w:val="2763ED41"/>
    <w:rsid w:val="2764ED1C"/>
    <w:rsid w:val="279AE1BF"/>
    <w:rsid w:val="27CD8050"/>
    <w:rsid w:val="28259702"/>
    <w:rsid w:val="28B6FE90"/>
    <w:rsid w:val="2926C5ED"/>
    <w:rsid w:val="295FA614"/>
    <w:rsid w:val="2961A9CF"/>
    <w:rsid w:val="29A93B0C"/>
    <w:rsid w:val="2A14F847"/>
    <w:rsid w:val="2A3DDAF9"/>
    <w:rsid w:val="2A78D7A4"/>
    <w:rsid w:val="2ADAD449"/>
    <w:rsid w:val="2B0D29AF"/>
    <w:rsid w:val="2B2E0E1F"/>
    <w:rsid w:val="2B78BEFC"/>
    <w:rsid w:val="2BC42F60"/>
    <w:rsid w:val="2BD47D5E"/>
    <w:rsid w:val="2BEB3A9F"/>
    <w:rsid w:val="2C2A715A"/>
    <w:rsid w:val="2C38F0EA"/>
    <w:rsid w:val="2C3DE9CF"/>
    <w:rsid w:val="2C7C8496"/>
    <w:rsid w:val="2CB970D6"/>
    <w:rsid w:val="2CD69A9E"/>
    <w:rsid w:val="2CD9EF0F"/>
    <w:rsid w:val="2CF0247B"/>
    <w:rsid w:val="2DD49B2A"/>
    <w:rsid w:val="2DD638F6"/>
    <w:rsid w:val="2E331737"/>
    <w:rsid w:val="2EAB80BC"/>
    <w:rsid w:val="2ED76CDC"/>
    <w:rsid w:val="2EF257AB"/>
    <w:rsid w:val="2F010676"/>
    <w:rsid w:val="2F0321BF"/>
    <w:rsid w:val="2F173D6C"/>
    <w:rsid w:val="2F2D5CD6"/>
    <w:rsid w:val="2F4C48C7"/>
    <w:rsid w:val="2F7E14A5"/>
    <w:rsid w:val="30067DB1"/>
    <w:rsid w:val="30447658"/>
    <w:rsid w:val="308C2751"/>
    <w:rsid w:val="308EEA57"/>
    <w:rsid w:val="31428CE3"/>
    <w:rsid w:val="318F55FF"/>
    <w:rsid w:val="31E00653"/>
    <w:rsid w:val="32973357"/>
    <w:rsid w:val="32AE6876"/>
    <w:rsid w:val="32AFA327"/>
    <w:rsid w:val="32C9F117"/>
    <w:rsid w:val="32F5D9D2"/>
    <w:rsid w:val="3301A641"/>
    <w:rsid w:val="332FE451"/>
    <w:rsid w:val="3375161B"/>
    <w:rsid w:val="338B46D2"/>
    <w:rsid w:val="33A4F078"/>
    <w:rsid w:val="33AFC227"/>
    <w:rsid w:val="33C3C813"/>
    <w:rsid w:val="3400CDF9"/>
    <w:rsid w:val="343FC788"/>
    <w:rsid w:val="346C81CF"/>
    <w:rsid w:val="34842F5C"/>
    <w:rsid w:val="34DF5A06"/>
    <w:rsid w:val="34EBA747"/>
    <w:rsid w:val="351182F4"/>
    <w:rsid w:val="3518B864"/>
    <w:rsid w:val="35A5F876"/>
    <w:rsid w:val="35E8E1F3"/>
    <w:rsid w:val="36808BF9"/>
    <w:rsid w:val="36B0495D"/>
    <w:rsid w:val="36C2053E"/>
    <w:rsid w:val="375D2BB5"/>
    <w:rsid w:val="3763726A"/>
    <w:rsid w:val="384C19BE"/>
    <w:rsid w:val="38B2B497"/>
    <w:rsid w:val="392833D4"/>
    <w:rsid w:val="39783ADB"/>
    <w:rsid w:val="398D7AA5"/>
    <w:rsid w:val="39B21DA5"/>
    <w:rsid w:val="39CC073A"/>
    <w:rsid w:val="39DA048C"/>
    <w:rsid w:val="3A19E13A"/>
    <w:rsid w:val="3A20AA85"/>
    <w:rsid w:val="3A6985D0"/>
    <w:rsid w:val="3AC92F0E"/>
    <w:rsid w:val="3ACBA823"/>
    <w:rsid w:val="3AE5AD83"/>
    <w:rsid w:val="3B40ACDF"/>
    <w:rsid w:val="3B42DF65"/>
    <w:rsid w:val="3B58C446"/>
    <w:rsid w:val="3B73675F"/>
    <w:rsid w:val="3B904CDA"/>
    <w:rsid w:val="3C2D2105"/>
    <w:rsid w:val="3CB1F8C1"/>
    <w:rsid w:val="3D605CD8"/>
    <w:rsid w:val="3D9F8B4A"/>
    <w:rsid w:val="3DE119D7"/>
    <w:rsid w:val="3DE140AE"/>
    <w:rsid w:val="3DE73414"/>
    <w:rsid w:val="3E104E0B"/>
    <w:rsid w:val="3E37772C"/>
    <w:rsid w:val="3E3E9255"/>
    <w:rsid w:val="3E467274"/>
    <w:rsid w:val="3E7351A5"/>
    <w:rsid w:val="3EC676E1"/>
    <w:rsid w:val="3EFC1015"/>
    <w:rsid w:val="3FE19649"/>
    <w:rsid w:val="40045FB0"/>
    <w:rsid w:val="40082535"/>
    <w:rsid w:val="40585F82"/>
    <w:rsid w:val="40F1E900"/>
    <w:rsid w:val="41747326"/>
    <w:rsid w:val="4187926C"/>
    <w:rsid w:val="4188C949"/>
    <w:rsid w:val="41E69B60"/>
    <w:rsid w:val="41F03495"/>
    <w:rsid w:val="41FE17A3"/>
    <w:rsid w:val="42199E7A"/>
    <w:rsid w:val="4236B43D"/>
    <w:rsid w:val="4277F194"/>
    <w:rsid w:val="429C4075"/>
    <w:rsid w:val="42A5C6E5"/>
    <w:rsid w:val="42DCA946"/>
    <w:rsid w:val="4337F403"/>
    <w:rsid w:val="4372DECF"/>
    <w:rsid w:val="43C60191"/>
    <w:rsid w:val="43D89378"/>
    <w:rsid w:val="4448230B"/>
    <w:rsid w:val="44CDAED0"/>
    <w:rsid w:val="450FC45E"/>
    <w:rsid w:val="455AD97A"/>
    <w:rsid w:val="45C72FBC"/>
    <w:rsid w:val="461A1E1B"/>
    <w:rsid w:val="46385BFC"/>
    <w:rsid w:val="4663D2FE"/>
    <w:rsid w:val="46BD98FD"/>
    <w:rsid w:val="4720D9EF"/>
    <w:rsid w:val="47291225"/>
    <w:rsid w:val="479C1B00"/>
    <w:rsid w:val="47D609FF"/>
    <w:rsid w:val="47D99AB5"/>
    <w:rsid w:val="47F678F8"/>
    <w:rsid w:val="47FAC2AB"/>
    <w:rsid w:val="48F8365B"/>
    <w:rsid w:val="49147C0F"/>
    <w:rsid w:val="4947C9EC"/>
    <w:rsid w:val="4954EC9E"/>
    <w:rsid w:val="495814CB"/>
    <w:rsid w:val="497A8C9C"/>
    <w:rsid w:val="4983CF5E"/>
    <w:rsid w:val="4989F851"/>
    <w:rsid w:val="49C4FD7C"/>
    <w:rsid w:val="4A39CBCA"/>
    <w:rsid w:val="4A4F639C"/>
    <w:rsid w:val="4A94329B"/>
    <w:rsid w:val="4AA9D978"/>
    <w:rsid w:val="4AC65A88"/>
    <w:rsid w:val="4AD505BF"/>
    <w:rsid w:val="4AD52DB1"/>
    <w:rsid w:val="4B05A27E"/>
    <w:rsid w:val="4B0ED969"/>
    <w:rsid w:val="4B68786B"/>
    <w:rsid w:val="4B6EEF9D"/>
    <w:rsid w:val="4B910A20"/>
    <w:rsid w:val="4B987632"/>
    <w:rsid w:val="4BE8A744"/>
    <w:rsid w:val="4C1E8B87"/>
    <w:rsid w:val="4C47B113"/>
    <w:rsid w:val="4CEFBE81"/>
    <w:rsid w:val="4D217DCC"/>
    <w:rsid w:val="4DACD985"/>
    <w:rsid w:val="4DE38174"/>
    <w:rsid w:val="4E3FE80B"/>
    <w:rsid w:val="4E436DE1"/>
    <w:rsid w:val="4E612C93"/>
    <w:rsid w:val="4E704DF4"/>
    <w:rsid w:val="4E8B8EE2"/>
    <w:rsid w:val="4F0021C1"/>
    <w:rsid w:val="4F023B5D"/>
    <w:rsid w:val="4F6BE6AB"/>
    <w:rsid w:val="4F90D8CD"/>
    <w:rsid w:val="4FC402CF"/>
    <w:rsid w:val="4FC517AE"/>
    <w:rsid w:val="5022F812"/>
    <w:rsid w:val="50524D66"/>
    <w:rsid w:val="505C3590"/>
    <w:rsid w:val="50650B20"/>
    <w:rsid w:val="50A2B56E"/>
    <w:rsid w:val="51AA4C9A"/>
    <w:rsid w:val="51F4EEEF"/>
    <w:rsid w:val="5206A1B4"/>
    <w:rsid w:val="52514BF9"/>
    <w:rsid w:val="52AEAF22"/>
    <w:rsid w:val="53082120"/>
    <w:rsid w:val="536BDF54"/>
    <w:rsid w:val="53B9A0D3"/>
    <w:rsid w:val="5450AB8B"/>
    <w:rsid w:val="5458290A"/>
    <w:rsid w:val="545E104F"/>
    <w:rsid w:val="546309AA"/>
    <w:rsid w:val="54958B05"/>
    <w:rsid w:val="54ACF68C"/>
    <w:rsid w:val="54BFA322"/>
    <w:rsid w:val="54C00B43"/>
    <w:rsid w:val="54DA52F6"/>
    <w:rsid w:val="54E7B54F"/>
    <w:rsid w:val="550880E7"/>
    <w:rsid w:val="5531B7FF"/>
    <w:rsid w:val="554F9B58"/>
    <w:rsid w:val="55FCD82C"/>
    <w:rsid w:val="56231AB0"/>
    <w:rsid w:val="5629C034"/>
    <w:rsid w:val="566BD7CA"/>
    <w:rsid w:val="568AEB5A"/>
    <w:rsid w:val="56AC1EC3"/>
    <w:rsid w:val="56D163E9"/>
    <w:rsid w:val="56F6288D"/>
    <w:rsid w:val="572F6F28"/>
    <w:rsid w:val="57336467"/>
    <w:rsid w:val="573C1624"/>
    <w:rsid w:val="57DDCDFD"/>
    <w:rsid w:val="57E3ADA6"/>
    <w:rsid w:val="582F8B6A"/>
    <w:rsid w:val="5832A0B7"/>
    <w:rsid w:val="58B0B193"/>
    <w:rsid w:val="58B589F8"/>
    <w:rsid w:val="58E8C92D"/>
    <w:rsid w:val="58EBC071"/>
    <w:rsid w:val="5913A622"/>
    <w:rsid w:val="595F28D6"/>
    <w:rsid w:val="59E4D0AD"/>
    <w:rsid w:val="59F46DEE"/>
    <w:rsid w:val="5A637CDB"/>
    <w:rsid w:val="5AA8DC1F"/>
    <w:rsid w:val="5BB114EC"/>
    <w:rsid w:val="5C07A5D5"/>
    <w:rsid w:val="5C1B4544"/>
    <w:rsid w:val="5CBFB6DF"/>
    <w:rsid w:val="5CC21FE8"/>
    <w:rsid w:val="5CED2521"/>
    <w:rsid w:val="5D8206D2"/>
    <w:rsid w:val="5DA288F5"/>
    <w:rsid w:val="5E0A7F75"/>
    <w:rsid w:val="5E2B6489"/>
    <w:rsid w:val="5EF42CD0"/>
    <w:rsid w:val="5F8C8916"/>
    <w:rsid w:val="5F9AB2EA"/>
    <w:rsid w:val="5FA1593D"/>
    <w:rsid w:val="5FE62185"/>
    <w:rsid w:val="5FF84BAE"/>
    <w:rsid w:val="5FFC312B"/>
    <w:rsid w:val="6001E006"/>
    <w:rsid w:val="6002BDEA"/>
    <w:rsid w:val="6003A2FF"/>
    <w:rsid w:val="603332EE"/>
    <w:rsid w:val="60525050"/>
    <w:rsid w:val="60591003"/>
    <w:rsid w:val="60CFFCA2"/>
    <w:rsid w:val="615539A3"/>
    <w:rsid w:val="61853D96"/>
    <w:rsid w:val="618AC964"/>
    <w:rsid w:val="621ED2A0"/>
    <w:rsid w:val="623C87B2"/>
    <w:rsid w:val="628E3E0B"/>
    <w:rsid w:val="62AD6943"/>
    <w:rsid w:val="62EDA659"/>
    <w:rsid w:val="6303A368"/>
    <w:rsid w:val="632A7660"/>
    <w:rsid w:val="6351FF18"/>
    <w:rsid w:val="63F1DDED"/>
    <w:rsid w:val="64079D64"/>
    <w:rsid w:val="64561358"/>
    <w:rsid w:val="64A2C465"/>
    <w:rsid w:val="64CDD915"/>
    <w:rsid w:val="64EE2C27"/>
    <w:rsid w:val="65532BBA"/>
    <w:rsid w:val="65A36DC5"/>
    <w:rsid w:val="65D69788"/>
    <w:rsid w:val="6613D8FC"/>
    <w:rsid w:val="6662DA2B"/>
    <w:rsid w:val="66802ED3"/>
    <w:rsid w:val="66946E77"/>
    <w:rsid w:val="66E0021F"/>
    <w:rsid w:val="671B8F97"/>
    <w:rsid w:val="6733885D"/>
    <w:rsid w:val="678A5841"/>
    <w:rsid w:val="67A38652"/>
    <w:rsid w:val="67B91E72"/>
    <w:rsid w:val="67F6534A"/>
    <w:rsid w:val="6844CC7E"/>
    <w:rsid w:val="68538351"/>
    <w:rsid w:val="685E0A53"/>
    <w:rsid w:val="686F3D87"/>
    <w:rsid w:val="691E7B08"/>
    <w:rsid w:val="692FE672"/>
    <w:rsid w:val="697BAD6E"/>
    <w:rsid w:val="69A41387"/>
    <w:rsid w:val="69B6BC20"/>
    <w:rsid w:val="69C587EB"/>
    <w:rsid w:val="69FF5227"/>
    <w:rsid w:val="6A029382"/>
    <w:rsid w:val="6A698CB2"/>
    <w:rsid w:val="6AA01F02"/>
    <w:rsid w:val="6ABA23D1"/>
    <w:rsid w:val="6B26128C"/>
    <w:rsid w:val="6B765DB7"/>
    <w:rsid w:val="6B83CA38"/>
    <w:rsid w:val="6B849D6E"/>
    <w:rsid w:val="6BB9877B"/>
    <w:rsid w:val="6BBCA298"/>
    <w:rsid w:val="6BD2AFDD"/>
    <w:rsid w:val="6C1A16DA"/>
    <w:rsid w:val="6C5A66A7"/>
    <w:rsid w:val="6CC08B9F"/>
    <w:rsid w:val="6CCC7E5B"/>
    <w:rsid w:val="6D12A683"/>
    <w:rsid w:val="6D1F2458"/>
    <w:rsid w:val="6D850B6B"/>
    <w:rsid w:val="6D9A2546"/>
    <w:rsid w:val="6DB94983"/>
    <w:rsid w:val="6DC71EE9"/>
    <w:rsid w:val="6DD319B1"/>
    <w:rsid w:val="6E1DF38F"/>
    <w:rsid w:val="6E721A40"/>
    <w:rsid w:val="6EC0F6A9"/>
    <w:rsid w:val="6EF15827"/>
    <w:rsid w:val="6EF303CF"/>
    <w:rsid w:val="6EFDD501"/>
    <w:rsid w:val="6F19A1DD"/>
    <w:rsid w:val="6F7D93EF"/>
    <w:rsid w:val="6F9C212A"/>
    <w:rsid w:val="6FA3DAAA"/>
    <w:rsid w:val="6FF287A0"/>
    <w:rsid w:val="71088A7D"/>
    <w:rsid w:val="719D09B4"/>
    <w:rsid w:val="71A25A51"/>
    <w:rsid w:val="7232B2BB"/>
    <w:rsid w:val="72410762"/>
    <w:rsid w:val="72B2BF8C"/>
    <w:rsid w:val="72BAA806"/>
    <w:rsid w:val="72CF4B23"/>
    <w:rsid w:val="72EA9950"/>
    <w:rsid w:val="72EE0571"/>
    <w:rsid w:val="733F9918"/>
    <w:rsid w:val="736383B5"/>
    <w:rsid w:val="73673958"/>
    <w:rsid w:val="73D6A72F"/>
    <w:rsid w:val="73E6F07F"/>
    <w:rsid w:val="73FE4FEC"/>
    <w:rsid w:val="74807306"/>
    <w:rsid w:val="74CE88F6"/>
    <w:rsid w:val="75051592"/>
    <w:rsid w:val="751FDB0D"/>
    <w:rsid w:val="75A7EE64"/>
    <w:rsid w:val="76223A12"/>
    <w:rsid w:val="7648B592"/>
    <w:rsid w:val="764E9CD8"/>
    <w:rsid w:val="765ABEF4"/>
    <w:rsid w:val="767CE122"/>
    <w:rsid w:val="76DFAC54"/>
    <w:rsid w:val="771393C1"/>
    <w:rsid w:val="7715CE41"/>
    <w:rsid w:val="777CE27C"/>
    <w:rsid w:val="778A2F89"/>
    <w:rsid w:val="77B813C8"/>
    <w:rsid w:val="781D200C"/>
    <w:rsid w:val="78A70EF4"/>
    <w:rsid w:val="790534F7"/>
    <w:rsid w:val="79792444"/>
    <w:rsid w:val="79C4ACD9"/>
    <w:rsid w:val="79D886B5"/>
    <w:rsid w:val="7A0B5A74"/>
    <w:rsid w:val="7A1953FA"/>
    <w:rsid w:val="7A35E325"/>
    <w:rsid w:val="7A71F709"/>
    <w:rsid w:val="7ABAFAE3"/>
    <w:rsid w:val="7AD355A9"/>
    <w:rsid w:val="7B286ED9"/>
    <w:rsid w:val="7B3B956D"/>
    <w:rsid w:val="7B86999F"/>
    <w:rsid w:val="7BA3B49E"/>
    <w:rsid w:val="7BAFBE49"/>
    <w:rsid w:val="7BB5245B"/>
    <w:rsid w:val="7C22E49C"/>
    <w:rsid w:val="7C66815A"/>
    <w:rsid w:val="7CA3813C"/>
    <w:rsid w:val="7CC2807C"/>
    <w:rsid w:val="7D0C6A8A"/>
    <w:rsid w:val="7D0CE2D3"/>
    <w:rsid w:val="7D1EE169"/>
    <w:rsid w:val="7D32AC93"/>
    <w:rsid w:val="7D4D686A"/>
    <w:rsid w:val="7D665B70"/>
    <w:rsid w:val="7D87DAF5"/>
    <w:rsid w:val="7D9C2A9F"/>
    <w:rsid w:val="7DB8D6F5"/>
    <w:rsid w:val="7E27554C"/>
    <w:rsid w:val="7EE58021"/>
    <w:rsid w:val="7EE6A257"/>
    <w:rsid w:val="7F247CB6"/>
    <w:rsid w:val="7F693491"/>
    <w:rsid w:val="7F8E1A52"/>
    <w:rsid w:val="7F97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6AC1EC3"/>
  <w15:chartTrackingRefBased/>
  <w15:docId w15:val="{95DE4516-20F2-4431-AB15-A6517715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D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34D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962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35E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12A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A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2A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ec.europa.eu/news/commission-presents-a-blueprint-for-a-european-degre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pact.enlight-eu.org/understanding-research-impacthttps:/impact.enlight-eu.org/understanding-research-impacthttps:/impact.enlight-eu.org/understanding-research-impacthttps:/impact.enlight-eu.org/understanding-research-impacthttps:/impact.enlight-eu.org/understanding-research-impacthttps:/impact.enlight-eu.org/understanding-research-impac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72864ead-bdcb-11ef-91ed-01aa75ed71a1/language-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light-eu.org/index.php/university-about-us/flagship-domai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ucation.ec.europa.eu/sites/default/files/2024-03/Annexes-to-proposal-for-Council-Recommendation-on-European-quality-assurance-and-recognition-system-mar24_en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ec.europa.eu/education-levels/higher-education/european-degree/working-towards-a-european-degr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EE4B3912D7943B224A73C691C9B03" ma:contentTypeVersion="7" ma:contentTypeDescription="Een nieuw document maken." ma:contentTypeScope="" ma:versionID="414f8457dbf0b968ea861532e4944e68">
  <xsd:schema xmlns:xsd="http://www.w3.org/2001/XMLSchema" xmlns:xs="http://www.w3.org/2001/XMLSchema" xmlns:p="http://schemas.microsoft.com/office/2006/metadata/properties" xmlns:ns2="0f71a2d7-ce21-490f-89ed-855174488f7e" xmlns:ns3="7ce5a504-3f63-460b-bec4-68ed36475bb8" targetNamespace="http://schemas.microsoft.com/office/2006/metadata/properties" ma:root="true" ma:fieldsID="656a204ebcc6f50527a6c52e90c270d5" ns2:_="" ns3:_="">
    <xsd:import namespace="0f71a2d7-ce21-490f-89ed-855174488f7e"/>
    <xsd:import namespace="7ce5a504-3f63-460b-bec4-68ed36475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1a2d7-ce21-490f-89ed-855174488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4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5a504-3f63-460b-bec4-68ed36475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0f71a2d7-ce21-490f-89ed-855174488f7e" xsi:nil="true"/>
  </documentManagement>
</p:properties>
</file>

<file path=customXml/itemProps1.xml><?xml version="1.0" encoding="utf-8"?>
<ds:datastoreItem xmlns:ds="http://schemas.openxmlformats.org/officeDocument/2006/customXml" ds:itemID="{328E0072-7A05-4BCA-817B-E66131593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1a2d7-ce21-490f-89ed-855174488f7e"/>
    <ds:schemaRef ds:uri="7ce5a504-3f63-460b-bec4-68ed36475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F933A-AD9D-4C8E-B164-5A208D355E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46D86D-219F-4DC8-8E05-E553D3A5F2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5FBF4-FA8C-4836-B182-26B265671C3C}">
  <ds:schemaRefs>
    <ds:schemaRef ds:uri="http://schemas.microsoft.com/office/2006/metadata/properties"/>
    <ds:schemaRef ds:uri="http://schemas.microsoft.com/office/infopath/2007/PartnerControls"/>
    <ds:schemaRef ds:uri="7ce5a504-3f63-460b-bec4-68ed36475bb8"/>
    <ds:schemaRef ds:uri="172db966-318a-4c9c-b0aa-9afcf931010c"/>
    <ds:schemaRef ds:uri="0f71a2d7-ce21-490f-89ed-855174488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1863</Words>
  <Characters>10621</Characters>
  <Application>Microsoft Office Word</Application>
  <DocSecurity>0</DocSecurity>
  <Lines>88</Lines>
  <Paragraphs>24</Paragraphs>
  <ScaleCrop>false</ScaleCrop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Hlavinková Silvia</dc:creator>
  <cp:keywords/>
  <dc:description/>
  <cp:lastModifiedBy>Delfien Cloet</cp:lastModifiedBy>
  <cp:revision>30</cp:revision>
  <dcterms:created xsi:type="dcterms:W3CDTF">2025-03-24T14:28:00Z</dcterms:created>
  <dcterms:modified xsi:type="dcterms:W3CDTF">2025-03-31T16:56:00Z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0x01010000FEE4B3912D7943B224A73C691C9B03</vt:lpwstr>
  </property>
  <property fmtid="{D5CDD505-2E9C-101B-9397-08002B2CF9AE}" pid="3" name="MediaServiceImageTags">
    <vt:lpwstr/>
  </property>
</Properties>
</file>